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D16CD" w14:textId="77777777" w:rsidR="00A932C3" w:rsidRDefault="00324E68">
      <w:pPr>
        <w:spacing w:after="0" w:line="259" w:lineRule="auto"/>
        <w:ind w:left="322" w:firstLine="0"/>
      </w:pPr>
      <w:r>
        <w:rPr>
          <w:noProof/>
        </w:rPr>
        <w:drawing>
          <wp:inline distT="0" distB="0" distL="0" distR="0" wp14:anchorId="1D9AD687" wp14:editId="5824CC70">
            <wp:extent cx="1356360" cy="804672"/>
            <wp:effectExtent l="0" t="0" r="0" b="0"/>
            <wp:docPr id="56539" name="Picture 56539"/>
            <wp:cNvGraphicFramePr/>
            <a:graphic xmlns:a="http://schemas.openxmlformats.org/drawingml/2006/main">
              <a:graphicData uri="http://schemas.openxmlformats.org/drawingml/2006/picture">
                <pic:pic xmlns:pic="http://schemas.openxmlformats.org/drawingml/2006/picture">
                  <pic:nvPicPr>
                    <pic:cNvPr id="56539" name="Picture 56539"/>
                    <pic:cNvPicPr/>
                  </pic:nvPicPr>
                  <pic:blipFill>
                    <a:blip r:embed="rId7"/>
                    <a:stretch>
                      <a:fillRect/>
                    </a:stretch>
                  </pic:blipFill>
                  <pic:spPr>
                    <a:xfrm>
                      <a:off x="0" y="0"/>
                      <a:ext cx="1356360" cy="804672"/>
                    </a:xfrm>
                    <a:prstGeom prst="rect">
                      <a:avLst/>
                    </a:prstGeom>
                  </pic:spPr>
                </pic:pic>
              </a:graphicData>
            </a:graphic>
          </wp:inline>
        </w:drawing>
      </w:r>
    </w:p>
    <w:p w14:paraId="23F09316" w14:textId="77777777" w:rsidR="00A932C3" w:rsidRDefault="00324E68">
      <w:pPr>
        <w:spacing w:after="0" w:line="259" w:lineRule="auto"/>
        <w:ind w:left="322" w:firstLine="0"/>
      </w:pPr>
      <w:r>
        <w:rPr>
          <w:rFonts w:ascii="Times New Roman" w:eastAsia="Times New Roman" w:hAnsi="Times New Roman" w:cs="Times New Roman"/>
          <w:sz w:val="20"/>
        </w:rPr>
        <w:t xml:space="preserve"> </w:t>
      </w:r>
    </w:p>
    <w:p w14:paraId="5F4779F3" w14:textId="77777777" w:rsidR="00A932C3" w:rsidRDefault="00324E68">
      <w:pPr>
        <w:spacing w:after="1663" w:line="259" w:lineRule="auto"/>
        <w:ind w:left="0" w:firstLine="0"/>
      </w:pPr>
      <w:r>
        <w:rPr>
          <w:rFonts w:ascii="Times New Roman" w:eastAsia="Times New Roman" w:hAnsi="Times New Roman" w:cs="Times New Roman"/>
          <w:sz w:val="6"/>
        </w:rPr>
        <w:t xml:space="preserve"> </w:t>
      </w:r>
    </w:p>
    <w:p w14:paraId="541E39A4" w14:textId="77777777" w:rsidR="00A932C3" w:rsidRDefault="00324E68">
      <w:pPr>
        <w:spacing w:after="154" w:line="259" w:lineRule="auto"/>
        <w:ind w:left="0" w:firstLine="0"/>
      </w:pPr>
      <w:r>
        <w:rPr>
          <w:rFonts w:ascii="Times New Roman" w:eastAsia="Times New Roman" w:hAnsi="Times New Roman" w:cs="Times New Roman"/>
          <w:sz w:val="92"/>
        </w:rPr>
        <w:t xml:space="preserve"> </w:t>
      </w:r>
    </w:p>
    <w:p w14:paraId="269624AB" w14:textId="77777777" w:rsidR="00A932C3" w:rsidRDefault="00324E68">
      <w:pPr>
        <w:spacing w:after="0" w:line="240" w:lineRule="auto"/>
        <w:ind w:left="278" w:right="981" w:firstLine="0"/>
      </w:pPr>
      <w:r>
        <w:rPr>
          <w:b/>
          <w:color w:val="104F75"/>
          <w:sz w:val="92"/>
        </w:rPr>
        <w:t xml:space="preserve">Keeping children safe in education 2026 </w:t>
      </w:r>
    </w:p>
    <w:p w14:paraId="690970A9" w14:textId="77777777" w:rsidR="00A932C3" w:rsidRDefault="00324E68">
      <w:pPr>
        <w:spacing w:after="0" w:line="216" w:lineRule="auto"/>
        <w:ind w:left="275" w:right="2621"/>
      </w:pPr>
      <w:r>
        <w:rPr>
          <w:b/>
          <w:color w:val="104F75"/>
          <w:sz w:val="48"/>
        </w:rPr>
        <w:t>Statutory guidance for schools and colleges</w:t>
      </w:r>
      <w:r>
        <w:rPr>
          <w:b/>
          <w:sz w:val="92"/>
        </w:rPr>
        <w:t xml:space="preserve"> </w:t>
      </w:r>
    </w:p>
    <w:p w14:paraId="2A33FA9B" w14:textId="77777777" w:rsidR="00A932C3" w:rsidRDefault="00324E68">
      <w:pPr>
        <w:spacing w:after="160" w:line="259" w:lineRule="auto"/>
        <w:ind w:left="280" w:firstLine="0"/>
      </w:pPr>
      <w:r>
        <w:rPr>
          <w:b/>
          <w:color w:val="104F75"/>
          <w:sz w:val="48"/>
        </w:rPr>
        <w:t xml:space="preserve"> </w:t>
      </w:r>
    </w:p>
    <w:p w14:paraId="2721E5C6" w14:textId="77777777" w:rsidR="00A932C3" w:rsidRDefault="00324E68">
      <w:pPr>
        <w:spacing w:after="245" w:line="216" w:lineRule="auto"/>
        <w:ind w:left="275" w:right="2621"/>
      </w:pPr>
      <w:r>
        <w:rPr>
          <w:b/>
          <w:color w:val="104F75"/>
          <w:sz w:val="48"/>
        </w:rPr>
        <w:t xml:space="preserve">Part one: Information for all school and college staff  </w:t>
      </w:r>
    </w:p>
    <w:p w14:paraId="5A78B21F" w14:textId="77777777" w:rsidR="00A932C3" w:rsidRDefault="00324E68">
      <w:pPr>
        <w:spacing w:after="123" w:line="259" w:lineRule="auto"/>
        <w:ind w:left="280" w:firstLine="0"/>
      </w:pPr>
      <w:r>
        <w:rPr>
          <w:b/>
          <w:color w:val="104F75"/>
          <w:sz w:val="48"/>
        </w:rPr>
        <w:t xml:space="preserve"> </w:t>
      </w:r>
    </w:p>
    <w:p w14:paraId="63563D41" w14:textId="77777777" w:rsidR="00A932C3" w:rsidRDefault="00324E68">
      <w:pPr>
        <w:spacing w:after="159" w:line="259" w:lineRule="auto"/>
        <w:ind w:left="280" w:firstLine="0"/>
      </w:pPr>
      <w:r>
        <w:rPr>
          <w:b/>
          <w:color w:val="1F477B"/>
          <w:sz w:val="44"/>
        </w:rPr>
        <w:t xml:space="preserve"> </w:t>
      </w:r>
    </w:p>
    <w:p w14:paraId="7E78D953" w14:textId="77777777" w:rsidR="00A932C3" w:rsidRDefault="00324E68">
      <w:pPr>
        <w:spacing w:after="160" w:line="259" w:lineRule="auto"/>
        <w:ind w:left="280" w:firstLine="0"/>
      </w:pPr>
      <w:r>
        <w:rPr>
          <w:b/>
          <w:color w:val="1F477B"/>
          <w:sz w:val="44"/>
        </w:rPr>
        <w:t xml:space="preserve"> </w:t>
      </w:r>
    </w:p>
    <w:p w14:paraId="7D3648DF" w14:textId="77777777" w:rsidR="00A932C3" w:rsidRDefault="00324E68">
      <w:pPr>
        <w:spacing w:after="159" w:line="259" w:lineRule="auto"/>
        <w:ind w:left="280" w:firstLine="0"/>
      </w:pPr>
      <w:r>
        <w:rPr>
          <w:b/>
          <w:color w:val="1F477B"/>
          <w:sz w:val="44"/>
        </w:rPr>
        <w:t xml:space="preserve"> </w:t>
      </w:r>
    </w:p>
    <w:p w14:paraId="26969FCE" w14:textId="77777777" w:rsidR="00A932C3" w:rsidRDefault="00324E68">
      <w:pPr>
        <w:spacing w:after="798" w:line="259" w:lineRule="auto"/>
        <w:ind w:left="280" w:firstLine="0"/>
      </w:pPr>
      <w:r>
        <w:rPr>
          <w:b/>
          <w:color w:val="1F477B"/>
          <w:sz w:val="44"/>
        </w:rPr>
        <w:t>September 2026</w:t>
      </w:r>
    </w:p>
    <w:p w14:paraId="7B7D60FF" w14:textId="77777777" w:rsidR="00A932C3" w:rsidRDefault="00324E68">
      <w:pPr>
        <w:spacing w:after="290" w:line="259" w:lineRule="auto"/>
        <w:ind w:left="0" w:firstLine="0"/>
      </w:pPr>
      <w:r>
        <w:rPr>
          <w:sz w:val="22"/>
        </w:rPr>
        <w:t xml:space="preserve"> </w:t>
      </w:r>
    </w:p>
    <w:p w14:paraId="13FF1B90" w14:textId="77777777" w:rsidR="00A932C3" w:rsidRDefault="00324E68">
      <w:pPr>
        <w:spacing w:after="0" w:line="259" w:lineRule="auto"/>
        <w:ind w:left="0" w:right="516" w:firstLine="0"/>
        <w:jc w:val="center"/>
      </w:pPr>
      <w:r>
        <w:rPr>
          <w:rFonts w:ascii="Calibri" w:eastAsia="Calibri" w:hAnsi="Calibri" w:cs="Calibri"/>
          <w:sz w:val="22"/>
        </w:rPr>
        <w:t xml:space="preserve"> </w:t>
      </w:r>
    </w:p>
    <w:p w14:paraId="3CD11FC8" w14:textId="77777777" w:rsidR="00A932C3" w:rsidRDefault="00324E68">
      <w:pPr>
        <w:spacing w:after="1118" w:line="259" w:lineRule="auto"/>
        <w:ind w:left="0" w:firstLine="0"/>
      </w:pPr>
      <w:r>
        <w:rPr>
          <w:sz w:val="22"/>
        </w:rPr>
        <w:t xml:space="preserve"> </w:t>
      </w:r>
    </w:p>
    <w:p w14:paraId="3DBD0589" w14:textId="77777777" w:rsidR="00A932C3" w:rsidRDefault="00324E68">
      <w:pPr>
        <w:spacing w:after="38" w:line="259" w:lineRule="auto"/>
        <w:ind w:left="0" w:firstLine="0"/>
      </w:pPr>
      <w:r>
        <w:rPr>
          <w:b/>
          <w:color w:val="104F75"/>
          <w:sz w:val="36"/>
        </w:rPr>
        <w:lastRenderedPageBreak/>
        <w:t xml:space="preserve">Summary </w:t>
      </w:r>
    </w:p>
    <w:p w14:paraId="178A365C" w14:textId="77777777" w:rsidR="00A932C3" w:rsidRDefault="00324E68">
      <w:pPr>
        <w:spacing w:after="0" w:line="259" w:lineRule="auto"/>
        <w:ind w:left="0" w:firstLine="0"/>
      </w:pPr>
      <w:r>
        <w:rPr>
          <w:b/>
          <w:color w:val="104F75"/>
          <w:sz w:val="40"/>
        </w:rPr>
        <w:t xml:space="preserve"> </w:t>
      </w:r>
    </w:p>
    <w:p w14:paraId="2C5415E1" w14:textId="77777777" w:rsidR="00A932C3" w:rsidRDefault="00324E68">
      <w:pPr>
        <w:spacing w:after="9"/>
        <w:ind w:left="-4" w:right="10"/>
      </w:pPr>
      <w:r>
        <w:t xml:space="preserve">Keeping children safe in education is statutory guidance that schools and colleges in England must have regard to when carrying out their duties to safeguard and promote the welfare of children.  </w:t>
      </w:r>
    </w:p>
    <w:p w14:paraId="30D823E5" w14:textId="77777777" w:rsidR="00A932C3" w:rsidRDefault="00324E68">
      <w:pPr>
        <w:spacing w:after="0" w:line="259" w:lineRule="auto"/>
        <w:ind w:left="0" w:firstLine="0"/>
      </w:pPr>
      <w:r>
        <w:t xml:space="preserve"> </w:t>
      </w:r>
    </w:p>
    <w:p w14:paraId="6EE5C2C8" w14:textId="77777777" w:rsidR="00A932C3" w:rsidRDefault="00324E68">
      <w:pPr>
        <w:spacing w:after="10"/>
        <w:ind w:left="-4" w:right="10"/>
      </w:pPr>
      <w:r>
        <w:t xml:space="preserve">It is essential that </w:t>
      </w:r>
      <w:r>
        <w:rPr>
          <w:b/>
        </w:rPr>
        <w:t>everybody</w:t>
      </w:r>
      <w:r>
        <w:t xml:space="preserve"> working in a school or college understands their safeguarding responsibilities. Governing bodies and proprietors should ensure that those </w:t>
      </w:r>
      <w:r>
        <w:rPr>
          <w:b/>
        </w:rPr>
        <w:t>staff who work directly with children</w:t>
      </w:r>
      <w:r>
        <w:t xml:space="preserve"> read </w:t>
      </w:r>
      <w:r>
        <w:rPr>
          <w:b/>
        </w:rPr>
        <w:t>at</w:t>
      </w:r>
      <w:r>
        <w:t xml:space="preserve"> </w:t>
      </w:r>
      <w:r>
        <w:rPr>
          <w:b/>
        </w:rPr>
        <w:t>least Part one</w:t>
      </w:r>
      <w:r>
        <w:t xml:space="preserve"> of this guidance.  </w:t>
      </w:r>
    </w:p>
    <w:p w14:paraId="7F6E7481" w14:textId="77777777" w:rsidR="00A932C3" w:rsidRDefault="00324E68">
      <w:pPr>
        <w:spacing w:after="0" w:line="259" w:lineRule="auto"/>
        <w:ind w:left="0" w:firstLine="0"/>
      </w:pPr>
      <w:r>
        <w:t xml:space="preserve"> </w:t>
      </w:r>
    </w:p>
    <w:p w14:paraId="4B7870D3" w14:textId="77777777" w:rsidR="00A932C3" w:rsidRDefault="00324E68">
      <w:pPr>
        <w:spacing w:after="10"/>
        <w:ind w:left="-4" w:right="10"/>
      </w:pPr>
      <w:r>
        <w:t xml:space="preserve">Governing bodies and proprietors, working with their senior leadership teams and especially their designated safeguarding lead, should now also ensure that those </w:t>
      </w:r>
      <w:r>
        <w:rPr>
          <w:b/>
        </w:rPr>
        <w:t>staff who do not work directly with children</w:t>
      </w:r>
      <w:r>
        <w:t xml:space="preserve"> read </w:t>
      </w:r>
      <w:r>
        <w:rPr>
          <w:b/>
        </w:rPr>
        <w:t>Part one</w:t>
      </w:r>
      <w:r>
        <w:t xml:space="preserve"> of this guidance.  </w:t>
      </w:r>
    </w:p>
    <w:p w14:paraId="668D2125" w14:textId="77777777" w:rsidR="00A932C3" w:rsidRDefault="00324E68">
      <w:pPr>
        <w:spacing w:after="0" w:line="259" w:lineRule="auto"/>
        <w:ind w:left="0" w:firstLine="0"/>
      </w:pPr>
      <w:r>
        <w:t xml:space="preserve"> </w:t>
      </w:r>
    </w:p>
    <w:p w14:paraId="4F3D881E" w14:textId="77777777" w:rsidR="00A932C3" w:rsidRDefault="00324E68">
      <w:pPr>
        <w:spacing w:after="9"/>
        <w:ind w:left="-4" w:right="10"/>
      </w:pPr>
      <w:r>
        <w:t xml:space="preserve">Governing bodies and proprietors should ensure that mechanisms are in place to assist staff to understand and discharge their roles and responsibilities as set out in </w:t>
      </w:r>
      <w:r>
        <w:rPr>
          <w:b/>
        </w:rPr>
        <w:t>Part one</w:t>
      </w:r>
      <w:r>
        <w:t xml:space="preserve"> of this guidance. </w:t>
      </w:r>
    </w:p>
    <w:p w14:paraId="069BD486" w14:textId="77777777" w:rsidR="00A932C3" w:rsidRDefault="00324E68">
      <w:pPr>
        <w:spacing w:after="115" w:line="259" w:lineRule="auto"/>
        <w:ind w:left="0" w:firstLine="0"/>
      </w:pPr>
      <w:r>
        <w:t xml:space="preserve"> </w:t>
      </w:r>
    </w:p>
    <w:p w14:paraId="2334C231" w14:textId="77777777" w:rsidR="00A932C3" w:rsidRDefault="00324E68">
      <w:pPr>
        <w:spacing w:after="78"/>
        <w:ind w:left="-4" w:right="10"/>
      </w:pPr>
      <w:r>
        <w:t xml:space="preserve">The full version of KCSIE can be found at </w:t>
      </w:r>
      <w:hyperlink r:id="rId8">
        <w:r>
          <w:rPr>
            <w:color w:val="467886"/>
            <w:u w:val="single" w:color="467886"/>
          </w:rPr>
          <w:t>Keeping children safe in education</w:t>
        </w:r>
      </w:hyperlink>
      <w:hyperlink r:id="rId9">
        <w:r>
          <w:t>.</w:t>
        </w:r>
      </w:hyperlink>
      <w:r>
        <w:rPr>
          <w:b/>
          <w:color w:val="0F4761"/>
          <w:sz w:val="40"/>
        </w:rPr>
        <w:t xml:space="preserve"> </w:t>
      </w:r>
    </w:p>
    <w:p w14:paraId="3A0A9D67" w14:textId="77777777" w:rsidR="00A932C3" w:rsidRDefault="00324E68">
      <w:pPr>
        <w:spacing w:after="0" w:line="259" w:lineRule="auto"/>
        <w:ind w:left="0" w:firstLine="0"/>
      </w:pPr>
      <w:r>
        <w:rPr>
          <w:b/>
          <w:color w:val="104F75"/>
          <w:sz w:val="32"/>
        </w:rPr>
        <w:t xml:space="preserve"> </w:t>
      </w:r>
    </w:p>
    <w:p w14:paraId="44455CD2" w14:textId="77777777" w:rsidR="00A932C3" w:rsidRDefault="00324E68">
      <w:pPr>
        <w:spacing w:after="190" w:line="259" w:lineRule="auto"/>
      </w:pPr>
      <w:r>
        <w:rPr>
          <w:b/>
          <w:color w:val="104F75"/>
          <w:sz w:val="32"/>
        </w:rPr>
        <w:t xml:space="preserve">About this guidance </w:t>
      </w:r>
    </w:p>
    <w:p w14:paraId="3406CD6A" w14:textId="77777777" w:rsidR="00A932C3" w:rsidRDefault="00324E68">
      <w:pPr>
        <w:spacing w:after="6105" w:line="285" w:lineRule="auto"/>
        <w:ind w:left="0" w:right="1105" w:firstLine="0"/>
        <w:jc w:val="both"/>
      </w:pPr>
      <w:r>
        <w:t>We use the terms “</w:t>
      </w:r>
      <w:r>
        <w:rPr>
          <w:b/>
        </w:rPr>
        <w:t>must</w:t>
      </w:r>
      <w:r>
        <w:t>”</w:t>
      </w:r>
      <w:r>
        <w:rPr>
          <w:b/>
        </w:rPr>
        <w:t xml:space="preserve"> </w:t>
      </w:r>
      <w:r>
        <w:t>and “</w:t>
      </w:r>
      <w:r>
        <w:rPr>
          <w:b/>
        </w:rPr>
        <w:t>should</w:t>
      </w:r>
      <w:r>
        <w:t>” throughout the guidance. We use the term “</w:t>
      </w:r>
      <w:r>
        <w:rPr>
          <w:b/>
        </w:rPr>
        <w:t>must</w:t>
      </w:r>
      <w:r>
        <w:t>” when the person in question is legally required to do something, and “</w:t>
      </w:r>
      <w:r>
        <w:rPr>
          <w:b/>
        </w:rPr>
        <w:t>should</w:t>
      </w:r>
      <w:r>
        <w:t xml:space="preserve">” when the advice set out should be followed unless there is good reason not to.  </w:t>
      </w:r>
    </w:p>
    <w:p w14:paraId="04032F48" w14:textId="77777777" w:rsidR="00A932C3" w:rsidRDefault="00324E68">
      <w:pPr>
        <w:spacing w:after="0" w:line="259" w:lineRule="auto"/>
        <w:ind w:left="0" w:firstLine="0"/>
      </w:pPr>
      <w:r>
        <w:rPr>
          <w:sz w:val="12"/>
        </w:rPr>
        <w:t xml:space="preserve"> </w:t>
      </w:r>
    </w:p>
    <w:p w14:paraId="0939937C" w14:textId="77777777" w:rsidR="00A932C3" w:rsidRDefault="00A932C3">
      <w:pPr>
        <w:sectPr w:rsidR="00A932C3">
          <w:footerReference w:type="even" r:id="rId10"/>
          <w:footerReference w:type="default" r:id="rId11"/>
          <w:footerReference w:type="first" r:id="rId12"/>
          <w:pgSz w:w="11920" w:h="16850"/>
          <w:pgMar w:top="47" w:right="438" w:bottom="322" w:left="851" w:header="720" w:footer="720" w:gutter="0"/>
          <w:cols w:space="720"/>
        </w:sectPr>
      </w:pPr>
    </w:p>
    <w:p w14:paraId="00DBA39D" w14:textId="77777777" w:rsidR="00A932C3" w:rsidRDefault="00324E68">
      <w:pPr>
        <w:spacing w:after="0" w:line="259" w:lineRule="auto"/>
        <w:ind w:left="290"/>
      </w:pPr>
      <w:r>
        <w:rPr>
          <w:b/>
          <w:color w:val="0F4761"/>
          <w:sz w:val="36"/>
        </w:rPr>
        <w:lastRenderedPageBreak/>
        <w:t>Part one: Safeguarding information for all staff</w:t>
      </w:r>
      <w:r>
        <w:rPr>
          <w:b/>
          <w:color w:val="104F75"/>
          <w:sz w:val="40"/>
        </w:rPr>
        <w:t xml:space="preserve"> </w:t>
      </w:r>
    </w:p>
    <w:p w14:paraId="05206DEB" w14:textId="77777777" w:rsidR="00A932C3" w:rsidRDefault="00324E68">
      <w:pPr>
        <w:spacing w:after="0" w:line="259" w:lineRule="auto"/>
        <w:ind w:left="280" w:firstLine="0"/>
      </w:pPr>
      <w:r>
        <w:rPr>
          <w:b/>
          <w:color w:val="104F75"/>
          <w:sz w:val="40"/>
        </w:rPr>
        <w:t xml:space="preserve"> </w:t>
      </w:r>
    </w:p>
    <w:p w14:paraId="48258678" w14:textId="77777777" w:rsidR="00A932C3" w:rsidRDefault="00324E68">
      <w:pPr>
        <w:spacing w:after="0" w:line="259" w:lineRule="auto"/>
        <w:ind w:left="290"/>
      </w:pPr>
      <w:r>
        <w:rPr>
          <w:b/>
          <w:color w:val="0F4761"/>
          <w:sz w:val="32"/>
        </w:rPr>
        <w:t xml:space="preserve">What school and college staff should know and do </w:t>
      </w:r>
    </w:p>
    <w:p w14:paraId="62A49479" w14:textId="77777777" w:rsidR="00A932C3" w:rsidRDefault="00324E68">
      <w:pPr>
        <w:spacing w:after="0" w:line="259" w:lineRule="auto"/>
        <w:ind w:left="280" w:firstLine="0"/>
      </w:pPr>
      <w:r>
        <w:rPr>
          <w:b/>
          <w:color w:val="0F4761"/>
          <w:sz w:val="32"/>
        </w:rPr>
        <w:t xml:space="preserve"> </w:t>
      </w:r>
    </w:p>
    <w:p w14:paraId="5EE0CF9B" w14:textId="77777777" w:rsidR="00A932C3" w:rsidRDefault="00324E68">
      <w:pPr>
        <w:pStyle w:val="Heading2"/>
        <w:spacing w:after="160"/>
        <w:ind w:left="275"/>
      </w:pPr>
      <w:r>
        <w:rPr>
          <w:color w:val="104F75"/>
        </w:rPr>
        <w:t>A child centred and coordinated approach to safeguarding</w:t>
      </w:r>
      <w:r>
        <w:rPr>
          <w:sz w:val="32"/>
        </w:rPr>
        <w:t xml:space="preserve"> </w:t>
      </w:r>
    </w:p>
    <w:p w14:paraId="71894B7E" w14:textId="77777777" w:rsidR="00A932C3" w:rsidRDefault="00324E68">
      <w:pPr>
        <w:numPr>
          <w:ilvl w:val="0"/>
          <w:numId w:val="1"/>
        </w:numPr>
        <w:spacing w:after="261" w:line="299" w:lineRule="auto"/>
        <w:ind w:right="2218"/>
      </w:pPr>
      <w:r>
        <w:t xml:space="preserve">Schools and colleges and their staff are an important part of the wider safeguarding system for children. This system is described in the statutory guidance </w:t>
      </w:r>
      <w:hyperlink r:id="rId13">
        <w:r>
          <w:rPr>
            <w:color w:val="0000FF"/>
            <w:u w:val="single" w:color="0000FF"/>
          </w:rPr>
          <w:t>Working Together to Safeguard Children</w:t>
        </w:r>
      </w:hyperlink>
      <w:hyperlink r:id="rId14">
        <w:r>
          <w:t>.</w:t>
        </w:r>
      </w:hyperlink>
      <w:r>
        <w:t xml:space="preserve"> </w:t>
      </w:r>
    </w:p>
    <w:p w14:paraId="3B2206FA" w14:textId="77777777" w:rsidR="00A932C3" w:rsidRDefault="00324E68">
      <w:pPr>
        <w:numPr>
          <w:ilvl w:val="0"/>
          <w:numId w:val="1"/>
        </w:numPr>
        <w:spacing w:after="309"/>
        <w:ind w:right="2218"/>
      </w:pPr>
      <w:r>
        <w:t xml:space="preserve">Safeguarding and promoting the welfare of children is everyone’s responsibility. </w:t>
      </w:r>
      <w:r>
        <w:rPr>
          <w:b/>
        </w:rPr>
        <w:t xml:space="preserve">‘Children’ </w:t>
      </w:r>
      <w:r>
        <w:t xml:space="preserve">means everyone under the age of 18. In order to fulfil this responsibility effectively, all practitioners should make sure their approach is child centred. This means that they should consider, at all times, what is in the best interests of the child. </w:t>
      </w:r>
    </w:p>
    <w:p w14:paraId="2372755F" w14:textId="77777777" w:rsidR="00A932C3" w:rsidRDefault="00324E68">
      <w:pPr>
        <w:numPr>
          <w:ilvl w:val="0"/>
          <w:numId w:val="1"/>
        </w:numPr>
        <w:spacing w:after="192"/>
        <w:ind w:right="2218"/>
      </w:pPr>
      <w:r>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Safeguarding and promoting the welfare of children is defined for the purposes of this guidance as: </w:t>
      </w:r>
    </w:p>
    <w:p w14:paraId="790D7B1A" w14:textId="77777777" w:rsidR="00A932C3" w:rsidRDefault="00324E68">
      <w:pPr>
        <w:numPr>
          <w:ilvl w:val="1"/>
          <w:numId w:val="1"/>
        </w:numPr>
        <w:ind w:right="445" w:hanging="360"/>
      </w:pPr>
      <w:r>
        <w:t>providing help and support to meet the needs of children as soon as problems emerge,</w:t>
      </w:r>
      <w:r>
        <w:rPr>
          <w:rFonts w:ascii="Segoe UI Symbol" w:eastAsia="Segoe UI Symbol" w:hAnsi="Segoe UI Symbol" w:cs="Segoe UI Symbol"/>
        </w:rPr>
        <w:t xml:space="preserve"> </w:t>
      </w:r>
    </w:p>
    <w:p w14:paraId="15387A20" w14:textId="77777777" w:rsidR="00A932C3" w:rsidRDefault="00324E68">
      <w:pPr>
        <w:numPr>
          <w:ilvl w:val="1"/>
          <w:numId w:val="1"/>
        </w:numPr>
        <w:ind w:right="445" w:hanging="360"/>
      </w:pPr>
      <w:r>
        <w:t>protecting children from maltreatment, whether that is within or outside the home, including online,</w:t>
      </w:r>
      <w:r>
        <w:rPr>
          <w:rFonts w:ascii="Segoe UI Symbol" w:eastAsia="Segoe UI Symbol" w:hAnsi="Segoe UI Symbol" w:cs="Segoe UI Symbol"/>
        </w:rPr>
        <w:t xml:space="preserve"> </w:t>
      </w:r>
    </w:p>
    <w:p w14:paraId="32B1E3D5" w14:textId="77777777" w:rsidR="00A932C3" w:rsidRDefault="00324E68">
      <w:pPr>
        <w:numPr>
          <w:ilvl w:val="1"/>
          <w:numId w:val="1"/>
        </w:numPr>
        <w:ind w:right="445" w:hanging="360"/>
      </w:pPr>
      <w:r>
        <w:t>preventing the impairment of children’s mental and physical health or development,</w:t>
      </w:r>
      <w:r>
        <w:rPr>
          <w:rFonts w:ascii="Segoe UI Symbol" w:eastAsia="Segoe UI Symbol" w:hAnsi="Segoe UI Symbol" w:cs="Segoe UI Symbol"/>
        </w:rPr>
        <w:t xml:space="preserve"> </w:t>
      </w:r>
    </w:p>
    <w:p w14:paraId="6D7E43C9" w14:textId="77777777" w:rsidR="00A932C3" w:rsidRDefault="00324E68">
      <w:pPr>
        <w:numPr>
          <w:ilvl w:val="1"/>
          <w:numId w:val="1"/>
        </w:numPr>
        <w:ind w:right="445" w:hanging="360"/>
      </w:pPr>
      <w:r>
        <w:t>ensuring that children grow up in circumstances consistent with the provision of safe and effective care, and</w:t>
      </w:r>
      <w:r>
        <w:rPr>
          <w:rFonts w:ascii="Segoe UI Symbol" w:eastAsia="Segoe UI Symbol" w:hAnsi="Segoe UI Symbol" w:cs="Segoe UI Symbol"/>
        </w:rPr>
        <w:t xml:space="preserve"> </w:t>
      </w:r>
    </w:p>
    <w:p w14:paraId="1FFB54F5" w14:textId="77777777" w:rsidR="00A932C3" w:rsidRDefault="00324E68">
      <w:pPr>
        <w:numPr>
          <w:ilvl w:val="1"/>
          <w:numId w:val="1"/>
        </w:numPr>
        <w:spacing w:after="360"/>
        <w:ind w:right="445" w:hanging="360"/>
      </w:pPr>
      <w:r>
        <w:t>taking action to enable all children to have the best outcomes.</w:t>
      </w:r>
      <w:r>
        <w:rPr>
          <w:rFonts w:ascii="Segoe UI Symbol" w:eastAsia="Segoe UI Symbol" w:hAnsi="Segoe UI Symbol" w:cs="Segoe UI Symbol"/>
        </w:rPr>
        <w:t xml:space="preserve"> </w:t>
      </w:r>
    </w:p>
    <w:p w14:paraId="07F6F3E1" w14:textId="77777777" w:rsidR="00A932C3" w:rsidRDefault="00324E68">
      <w:pPr>
        <w:pStyle w:val="Heading2"/>
        <w:spacing w:after="229"/>
        <w:ind w:left="275"/>
      </w:pPr>
      <w:r>
        <w:rPr>
          <w:color w:val="104F75"/>
        </w:rPr>
        <w:t xml:space="preserve">The role of school and college staff </w:t>
      </w:r>
    </w:p>
    <w:p w14:paraId="27F6AD0C" w14:textId="77777777" w:rsidR="00A932C3" w:rsidRDefault="00324E68">
      <w:pPr>
        <w:numPr>
          <w:ilvl w:val="0"/>
          <w:numId w:val="2"/>
        </w:numPr>
        <w:spacing w:line="301" w:lineRule="auto"/>
        <w:ind w:right="2136" w:hanging="11"/>
      </w:pPr>
      <w:r>
        <w:t xml:space="preserve">School and college staff are in a position to identify concerns early, provide help for children, and prevent concerns from escalating. </w:t>
      </w:r>
    </w:p>
    <w:p w14:paraId="3D596294" w14:textId="77777777" w:rsidR="00A932C3" w:rsidRDefault="00324E68">
      <w:pPr>
        <w:numPr>
          <w:ilvl w:val="0"/>
          <w:numId w:val="2"/>
        </w:numPr>
        <w:spacing w:after="256" w:line="302" w:lineRule="auto"/>
        <w:ind w:right="2136" w:hanging="11"/>
      </w:pPr>
      <w:r>
        <w:t xml:space="preserve">All staff have a responsibility to provide a safe environment in which children can learn. </w:t>
      </w:r>
    </w:p>
    <w:p w14:paraId="29278A9A" w14:textId="77777777" w:rsidR="00A932C3" w:rsidRDefault="00324E68">
      <w:pPr>
        <w:numPr>
          <w:ilvl w:val="0"/>
          <w:numId w:val="2"/>
        </w:numPr>
        <w:spacing w:after="253" w:line="305" w:lineRule="auto"/>
        <w:ind w:right="2136" w:hanging="11"/>
      </w:pPr>
      <w:r>
        <w:lastRenderedPageBreak/>
        <w:t xml:space="preserve">All staff should be prepared to identify children who may benefit from Family </w:t>
      </w:r>
      <w:r>
        <w:rPr>
          <w:sz w:val="22"/>
        </w:rPr>
        <w:t>Help.</w:t>
      </w:r>
      <w:r>
        <w:rPr>
          <w:sz w:val="22"/>
          <w:vertAlign w:val="superscript"/>
        </w:rPr>
        <w:footnoteReference w:id="1"/>
      </w:r>
      <w:r>
        <w:rPr>
          <w:sz w:val="22"/>
          <w:vertAlign w:val="superscript"/>
        </w:rPr>
        <w:t xml:space="preserve"> </w:t>
      </w:r>
      <w:r>
        <w:t xml:space="preserve">Family Help means providing support as soon as a problem emerges at any point in a child’s life, from the foundation years through to the teenage years. </w:t>
      </w:r>
    </w:p>
    <w:p w14:paraId="6CFD10AE" w14:textId="77777777" w:rsidR="00A932C3" w:rsidRDefault="00324E68">
      <w:pPr>
        <w:numPr>
          <w:ilvl w:val="0"/>
          <w:numId w:val="2"/>
        </w:numPr>
        <w:spacing w:after="309"/>
        <w:ind w:right="2136" w:hanging="11"/>
      </w:pPr>
      <w:r>
        <w:t xml:space="preserve">Any staff member who has any concerns about a child’s welfare should follow the processes set out in paragraphs 57-63. Staff should expect to support children’s social care and other agencies following any referral. </w:t>
      </w:r>
    </w:p>
    <w:p w14:paraId="4375E224" w14:textId="77777777" w:rsidR="00A932C3" w:rsidRDefault="00324E68">
      <w:pPr>
        <w:numPr>
          <w:ilvl w:val="0"/>
          <w:numId w:val="2"/>
        </w:numPr>
        <w:spacing w:after="309"/>
        <w:ind w:right="2136" w:hanging="11"/>
      </w:pPr>
      <w:r>
        <w:t xml:space="preserve">Every school and college should have a designated safeguarding lead who will provide support to staff to carry out their safeguarding duties and who will liaise closely with other services such as local authority children’s social care. </w:t>
      </w:r>
    </w:p>
    <w:p w14:paraId="1C714D88" w14:textId="77777777" w:rsidR="00A932C3" w:rsidRDefault="00324E68">
      <w:pPr>
        <w:numPr>
          <w:ilvl w:val="0"/>
          <w:numId w:val="2"/>
        </w:numPr>
        <w:spacing w:after="240" w:line="299" w:lineRule="auto"/>
        <w:ind w:right="2136" w:hanging="11"/>
      </w:pPr>
      <w:r>
        <w:t xml:space="preserve">The designated safeguarding lead (and any deputies) are most likely to have a complete safeguarding picture within education and be the most appropriate person to advise on the response to safeguarding concerns. </w:t>
      </w:r>
    </w:p>
    <w:p w14:paraId="41B814B3" w14:textId="77777777" w:rsidR="00A932C3" w:rsidRDefault="00324E68">
      <w:pPr>
        <w:numPr>
          <w:ilvl w:val="0"/>
          <w:numId w:val="2"/>
        </w:numPr>
        <w:spacing w:after="38" w:line="285" w:lineRule="auto"/>
        <w:ind w:right="2136" w:hanging="11"/>
      </w:pPr>
      <w:r>
        <w:t>The Teachers’ Standards 2012 state that teachers (which includes headteachers) should safeguard children’s wellbeing and maintain public trust in the teaching profession as part of their professional duties.</w:t>
      </w:r>
      <w:r>
        <w:rPr>
          <w:vertAlign w:val="superscript"/>
        </w:rPr>
        <w:footnoteReference w:id="2"/>
      </w:r>
      <w:r>
        <w:rPr>
          <w:sz w:val="22"/>
        </w:rPr>
        <w:t xml:space="preserve">  </w:t>
      </w:r>
    </w:p>
    <w:p w14:paraId="4DFEFD01" w14:textId="77777777" w:rsidR="00A932C3" w:rsidRDefault="00324E68">
      <w:pPr>
        <w:spacing w:after="276" w:line="259" w:lineRule="auto"/>
        <w:ind w:left="291" w:firstLine="0"/>
      </w:pPr>
      <w:r>
        <w:t xml:space="preserve"> </w:t>
      </w:r>
    </w:p>
    <w:p w14:paraId="4A3CF15F" w14:textId="77777777" w:rsidR="00A932C3" w:rsidRDefault="00324E68">
      <w:pPr>
        <w:pStyle w:val="Heading2"/>
        <w:spacing w:after="190"/>
        <w:ind w:left="275"/>
      </w:pPr>
      <w:r>
        <w:rPr>
          <w:color w:val="104F75"/>
          <w:sz w:val="32"/>
        </w:rPr>
        <w:t>What school and college staff need to know</w:t>
      </w:r>
      <w:r>
        <w:rPr>
          <w:sz w:val="32"/>
        </w:rPr>
        <w:t xml:space="preserve"> </w:t>
      </w:r>
    </w:p>
    <w:p w14:paraId="1F049378" w14:textId="77777777" w:rsidR="00A932C3" w:rsidRDefault="00324E68">
      <w:pPr>
        <w:numPr>
          <w:ilvl w:val="0"/>
          <w:numId w:val="3"/>
        </w:numPr>
        <w:spacing w:after="0" w:line="298" w:lineRule="auto"/>
        <w:ind w:right="2153"/>
      </w:pPr>
      <w:r>
        <w:t xml:space="preserve">All staff should be aware of systems within their school or college which support safeguarding, and these should be explained to them as part of staff induction. This should include the: </w:t>
      </w:r>
    </w:p>
    <w:p w14:paraId="0D9A20CA" w14:textId="77777777" w:rsidR="00A932C3" w:rsidRDefault="00324E68">
      <w:pPr>
        <w:spacing w:after="57" w:line="259" w:lineRule="auto"/>
        <w:ind w:left="291" w:firstLine="0"/>
      </w:pPr>
      <w:r>
        <w:t xml:space="preserve"> </w:t>
      </w:r>
    </w:p>
    <w:p w14:paraId="6CE88FB7" w14:textId="77777777" w:rsidR="00A932C3" w:rsidRDefault="00324E68">
      <w:pPr>
        <w:numPr>
          <w:ilvl w:val="2"/>
          <w:numId w:val="6"/>
        </w:numPr>
        <w:spacing w:after="44"/>
        <w:ind w:right="820" w:hanging="360"/>
      </w:pPr>
      <w:r>
        <w:t xml:space="preserve">child protection policy (which should amongst other things also include the policy and procedures to deal with child-on-child abuse), </w:t>
      </w:r>
    </w:p>
    <w:p w14:paraId="30DE515F" w14:textId="77777777" w:rsidR="00A932C3" w:rsidRDefault="00324E68">
      <w:pPr>
        <w:spacing w:after="0" w:line="259" w:lineRule="auto"/>
        <w:ind w:left="1081" w:firstLine="0"/>
      </w:pPr>
      <w:r>
        <w:rPr>
          <w:rFonts w:ascii="Segoe UI Symbol" w:eastAsia="Segoe UI Symbol" w:hAnsi="Segoe UI Symbol" w:cs="Segoe UI Symbol"/>
        </w:rPr>
        <w:t xml:space="preserve"> </w:t>
      </w:r>
    </w:p>
    <w:p w14:paraId="5BE486F2" w14:textId="77777777" w:rsidR="00A932C3" w:rsidRDefault="00324E68">
      <w:pPr>
        <w:numPr>
          <w:ilvl w:val="2"/>
          <w:numId w:val="6"/>
        </w:numPr>
        <w:spacing w:after="127"/>
        <w:ind w:right="820" w:hanging="360"/>
      </w:pPr>
      <w:r>
        <w:t>behaviour policy (which should include measures to prevent bullying, including cyberbullying, prejudice-based and discriminatory bullying)</w:t>
      </w:r>
      <w:r>
        <w:rPr>
          <w:vertAlign w:val="superscript"/>
        </w:rPr>
        <w:footnoteReference w:id="3"/>
      </w:r>
      <w:r>
        <w:t>,</w:t>
      </w:r>
      <w:r>
        <w:rPr>
          <w:rFonts w:ascii="Segoe UI Symbol" w:eastAsia="Segoe UI Symbol" w:hAnsi="Segoe UI Symbol" w:cs="Segoe UI Symbol"/>
        </w:rPr>
        <w:t xml:space="preserve"> </w:t>
      </w:r>
    </w:p>
    <w:p w14:paraId="6919DF28"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16C3C4E6" wp14:editId="6F6567B8">
                <wp:extent cx="1828800" cy="6858"/>
                <wp:effectExtent l="0" t="0" r="0" b="0"/>
                <wp:docPr id="46386" name="Group 46386"/>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53" name="Shape 57653"/>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386" style="width:144pt;height:0.540039pt;mso-position-horizontal-relative:char;mso-position-vertical-relative:line" coordsize="18288,68">
                <v:shape id="Shape 57654"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2092FB4B" w14:textId="77777777" w:rsidR="00A932C3" w:rsidRDefault="00324E68">
      <w:pPr>
        <w:numPr>
          <w:ilvl w:val="2"/>
          <w:numId w:val="6"/>
        </w:numPr>
        <w:spacing w:after="127" w:line="285" w:lineRule="auto"/>
        <w:ind w:right="820" w:hanging="360"/>
      </w:pPr>
      <w:r>
        <w:lastRenderedPageBreak/>
        <w:t>staff behaviour policy (sometimes called a code of conduct) should amongst other things, include low-level concerns, allegations against staff and whistleblowing,</w:t>
      </w:r>
      <w:r>
        <w:rPr>
          <w:rFonts w:ascii="Segoe UI Symbol" w:eastAsia="Segoe UI Symbol" w:hAnsi="Segoe UI Symbol" w:cs="Segoe UI Symbol"/>
        </w:rPr>
        <w:t xml:space="preserve"> </w:t>
      </w:r>
    </w:p>
    <w:p w14:paraId="41BF2617" w14:textId="77777777" w:rsidR="00A932C3" w:rsidRDefault="00324E68">
      <w:pPr>
        <w:numPr>
          <w:ilvl w:val="2"/>
          <w:numId w:val="6"/>
        </w:numPr>
        <w:ind w:right="820" w:hanging="360"/>
      </w:pPr>
      <w:r>
        <w:t>safeguarding response to children who are absent from education, particularly on repeat occasions and/or prolonged periods, and</w:t>
      </w:r>
      <w:r>
        <w:rPr>
          <w:rFonts w:ascii="Segoe UI Symbol" w:eastAsia="Segoe UI Symbol" w:hAnsi="Segoe UI Symbol" w:cs="Segoe UI Symbol"/>
        </w:rPr>
        <w:t xml:space="preserve"> </w:t>
      </w:r>
    </w:p>
    <w:p w14:paraId="5D2522E2" w14:textId="77777777" w:rsidR="00A932C3" w:rsidRDefault="00324E68">
      <w:pPr>
        <w:numPr>
          <w:ilvl w:val="2"/>
          <w:numId w:val="6"/>
        </w:numPr>
        <w:ind w:right="820" w:hanging="360"/>
      </w:pPr>
      <w:r>
        <w:t>role of the designated safeguarding lead (including the identity of the designated safeguarding lead and any deputies).</w:t>
      </w:r>
      <w:r>
        <w:rPr>
          <w:rFonts w:ascii="Segoe UI Symbol" w:eastAsia="Segoe UI Symbol" w:hAnsi="Segoe UI Symbol" w:cs="Segoe UI Symbol"/>
        </w:rPr>
        <w:t xml:space="preserve"> </w:t>
      </w:r>
    </w:p>
    <w:p w14:paraId="74B832D5" w14:textId="77777777" w:rsidR="00A932C3" w:rsidRDefault="00324E68">
      <w:pPr>
        <w:spacing w:after="304"/>
        <w:ind w:left="291" w:right="703"/>
      </w:pPr>
      <w:r>
        <w:t xml:space="preserve">Copies of policies and a copy of </w:t>
      </w:r>
      <w:r>
        <w:rPr>
          <w:b/>
        </w:rPr>
        <w:t>Part one</w:t>
      </w:r>
      <w:r>
        <w:t xml:space="preserve"> of this document should be provided to </w:t>
      </w:r>
      <w:r>
        <w:rPr>
          <w:b/>
        </w:rPr>
        <w:t xml:space="preserve">all </w:t>
      </w:r>
      <w:r>
        <w:t xml:space="preserve">staff at induction. </w:t>
      </w:r>
    </w:p>
    <w:p w14:paraId="59830373" w14:textId="77777777" w:rsidR="00A932C3" w:rsidRDefault="00324E68">
      <w:pPr>
        <w:numPr>
          <w:ilvl w:val="0"/>
          <w:numId w:val="3"/>
        </w:numPr>
        <w:spacing w:after="310"/>
        <w:ind w:right="2153"/>
      </w:pPr>
      <w:r>
        <w:t>All staff should receive appropriate safeguarding and child protection training (including online safety which, amongst other things, includes an understanding of the expectations, applicable roles and responsibilities in relation to filtering and monitoring – see paragraphs 173-177 of KCSIE for further information) at induction. The training should be regularly updated. In addition, all staff should receive safeguarding and child protection (including online safety) updates (for example, via email, e-bulle</w:t>
      </w:r>
      <w:r>
        <w:t xml:space="preserve">tins, and staff meetings), as required, and at least annually, to continue to provide them with relevant skills and knowledge to safeguard children effectively. </w:t>
      </w:r>
    </w:p>
    <w:p w14:paraId="1228262D" w14:textId="77777777" w:rsidR="00A932C3" w:rsidRDefault="00324E68">
      <w:pPr>
        <w:numPr>
          <w:ilvl w:val="0"/>
          <w:numId w:val="3"/>
        </w:numPr>
        <w:spacing w:after="145" w:line="302" w:lineRule="auto"/>
        <w:ind w:right="2153"/>
      </w:pPr>
      <w:r>
        <w:t xml:space="preserve">All staff should be aware of the process for community-based Family Help assessments: </w:t>
      </w:r>
    </w:p>
    <w:p w14:paraId="294D4632" w14:textId="77777777" w:rsidR="00A932C3" w:rsidRDefault="00324E68">
      <w:pPr>
        <w:numPr>
          <w:ilvl w:val="1"/>
          <w:numId w:val="3"/>
        </w:numPr>
        <w:ind w:right="801" w:hanging="360"/>
      </w:pPr>
      <w:r>
        <w:t>the criteria, including the level of need, for when a case should be referred to Family Help support and services provided at:</w:t>
      </w:r>
      <w:r>
        <w:rPr>
          <w:rFonts w:ascii="Segoe UI Symbol" w:eastAsia="Segoe UI Symbol" w:hAnsi="Segoe UI Symbol" w:cs="Segoe UI Symbol"/>
        </w:rPr>
        <w:t xml:space="preserve"> </w:t>
      </w:r>
    </w:p>
    <w:p w14:paraId="148AA856" w14:textId="77777777" w:rsidR="00A932C3" w:rsidRDefault="00324E68">
      <w:pPr>
        <w:numPr>
          <w:ilvl w:val="3"/>
          <w:numId w:val="4"/>
        </w:numPr>
        <w:ind w:right="740" w:hanging="360"/>
      </w:pPr>
      <w:r>
        <w:t>Targeted early help level (under sections 10 and 11 of the Children Act 2004), and</w:t>
      </w:r>
      <w:r>
        <w:rPr>
          <w:rFonts w:ascii="Segoe UI Symbol" w:eastAsia="Segoe UI Symbol" w:hAnsi="Segoe UI Symbol" w:cs="Segoe UI Symbol"/>
        </w:rPr>
        <w:t xml:space="preserve"> </w:t>
      </w:r>
    </w:p>
    <w:p w14:paraId="26689940" w14:textId="77777777" w:rsidR="00A932C3" w:rsidRDefault="00324E68">
      <w:pPr>
        <w:numPr>
          <w:ilvl w:val="3"/>
          <w:numId w:val="4"/>
        </w:numPr>
        <w:spacing w:after="43"/>
        <w:ind w:right="740" w:hanging="360"/>
      </w:pPr>
      <w:r>
        <w:t xml:space="preserve">Statutory services delivered under section 17 of the Children Act 1989 </w:t>
      </w:r>
    </w:p>
    <w:p w14:paraId="15CBF3F6" w14:textId="77777777" w:rsidR="00A932C3" w:rsidRDefault="00324E68">
      <w:pPr>
        <w:ind w:left="1743" w:right="10"/>
      </w:pPr>
      <w:r>
        <w:t>(children in need, including how this applies for disabled children)</w:t>
      </w:r>
      <w:r>
        <w:rPr>
          <w:rFonts w:ascii="Segoe UI Symbol" w:eastAsia="Segoe UI Symbol" w:hAnsi="Segoe UI Symbol" w:cs="Segoe UI Symbol"/>
        </w:rPr>
        <w:t xml:space="preserve"> </w:t>
      </w:r>
    </w:p>
    <w:p w14:paraId="4C5AD153" w14:textId="77777777" w:rsidR="00A932C3" w:rsidRDefault="00324E68">
      <w:pPr>
        <w:numPr>
          <w:ilvl w:val="1"/>
          <w:numId w:val="3"/>
        </w:numPr>
        <w:ind w:right="801" w:hanging="360"/>
      </w:pPr>
      <w:r>
        <w:t>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w:t>
      </w:r>
      <w:r>
        <w:rPr>
          <w:rFonts w:ascii="Segoe UI Symbol" w:eastAsia="Segoe UI Symbol" w:hAnsi="Segoe UI Symbol" w:cs="Segoe UI Symbol"/>
        </w:rPr>
        <w:t xml:space="preserve"> </w:t>
      </w:r>
    </w:p>
    <w:p w14:paraId="531D3664" w14:textId="77777777" w:rsidR="00A932C3" w:rsidRDefault="00324E68">
      <w:pPr>
        <w:spacing w:after="127" w:line="285" w:lineRule="auto"/>
        <w:ind w:left="1373" w:right="1890" w:firstLine="0"/>
        <w:jc w:val="both"/>
      </w:pPr>
      <w:r>
        <w:rPr>
          <w:rFonts w:ascii="Courier New" w:eastAsia="Courier New" w:hAnsi="Courier New" w:cs="Courier New"/>
        </w:rPr>
        <w:t>o</w:t>
      </w:r>
      <w:r>
        <w:t xml:space="preserve"> Section 31 of the Children Act 1989 (care and supervision orders), and</w:t>
      </w:r>
      <w:r>
        <w:rPr>
          <w:rFonts w:ascii="Segoe UI Symbol" w:eastAsia="Segoe UI Symbol" w:hAnsi="Segoe UI Symbol" w:cs="Segoe UI Symbol"/>
        </w:rPr>
        <w:t xml:space="preserve"> </w:t>
      </w:r>
      <w:r>
        <w:rPr>
          <w:rFonts w:ascii="Courier New" w:eastAsia="Courier New" w:hAnsi="Courier New" w:cs="Courier New"/>
        </w:rPr>
        <w:t>o</w:t>
      </w:r>
      <w:r>
        <w:t xml:space="preserve"> Section 20 of the Children Act 1989 (duty to accommodate a child)</w:t>
      </w:r>
      <w:r>
        <w:rPr>
          <w:rFonts w:ascii="Segoe UI Symbol" w:eastAsia="Segoe UI Symbol" w:hAnsi="Segoe UI Symbol" w:cs="Segoe UI Symbol"/>
        </w:rPr>
        <w:t xml:space="preserve"> </w:t>
      </w:r>
    </w:p>
    <w:p w14:paraId="22BC80FB" w14:textId="77777777" w:rsidR="00A932C3" w:rsidRDefault="00324E68">
      <w:pPr>
        <w:numPr>
          <w:ilvl w:val="1"/>
          <w:numId w:val="3"/>
        </w:numPr>
        <w:ind w:right="801" w:hanging="360"/>
      </w:pPr>
      <w:r>
        <w:t>and clear procedures and processes for cases relating to:</w:t>
      </w:r>
      <w:r>
        <w:rPr>
          <w:rFonts w:ascii="Segoe UI Symbol" w:eastAsia="Segoe UI Symbol" w:hAnsi="Segoe UI Symbol" w:cs="Segoe UI Symbol"/>
        </w:rPr>
        <w:t xml:space="preserve"> </w:t>
      </w:r>
    </w:p>
    <w:p w14:paraId="34ACF12E" w14:textId="77777777" w:rsidR="00A932C3" w:rsidRDefault="00324E68">
      <w:pPr>
        <w:numPr>
          <w:ilvl w:val="3"/>
          <w:numId w:val="5"/>
        </w:numPr>
        <w:ind w:right="1802" w:hanging="358"/>
      </w:pPr>
      <w:r>
        <w:t>the abuse, neglect, and exploitation of children</w:t>
      </w:r>
      <w:r>
        <w:rPr>
          <w:rFonts w:ascii="Segoe UI Symbol" w:eastAsia="Segoe UI Symbol" w:hAnsi="Segoe UI Symbol" w:cs="Segoe UI Symbol"/>
        </w:rPr>
        <w:t xml:space="preserve"> </w:t>
      </w:r>
    </w:p>
    <w:p w14:paraId="69AD3CF0" w14:textId="77777777" w:rsidR="00A932C3" w:rsidRDefault="00324E68">
      <w:pPr>
        <w:numPr>
          <w:ilvl w:val="3"/>
          <w:numId w:val="5"/>
        </w:numPr>
        <w:spacing w:after="89" w:line="372" w:lineRule="auto"/>
        <w:ind w:right="1802" w:hanging="358"/>
      </w:pPr>
      <w:r>
        <w:t>children managed within the youth secure estate</w:t>
      </w:r>
      <w:r>
        <w:rPr>
          <w:rFonts w:ascii="Segoe UI Symbol" w:eastAsia="Segoe UI Symbol" w:hAnsi="Segoe UI Symbol" w:cs="Segoe UI Symbol"/>
        </w:rPr>
        <w:t xml:space="preserve"> </w:t>
      </w:r>
      <w:r>
        <w:rPr>
          <w:rFonts w:ascii="Courier New" w:eastAsia="Courier New" w:hAnsi="Courier New" w:cs="Courier New"/>
        </w:rPr>
        <w:t>o</w:t>
      </w:r>
      <w:r>
        <w:t xml:space="preserve"> disabled children</w:t>
      </w:r>
      <w:r>
        <w:rPr>
          <w:rFonts w:ascii="Segoe UI Symbol" w:eastAsia="Segoe UI Symbol" w:hAnsi="Segoe UI Symbol" w:cs="Segoe UI Symbol"/>
        </w:rPr>
        <w:t xml:space="preserve"> </w:t>
      </w:r>
    </w:p>
    <w:p w14:paraId="3607AB1D" w14:textId="77777777" w:rsidR="00A932C3" w:rsidRDefault="00324E68">
      <w:pPr>
        <w:numPr>
          <w:ilvl w:val="0"/>
          <w:numId w:val="3"/>
        </w:numPr>
        <w:spacing w:after="310"/>
        <w:ind w:right="2153"/>
      </w:pPr>
      <w:r>
        <w:lastRenderedPageBreak/>
        <w:t>All staff should know what to do if a child tells them they are being abused, exploited, or neglected. Staff should know how to manage the requirement to maintain an appropriate level of confidentiality. This means only involving those who need to be involved, such as the designated safeguarding lead (or a deputy) and local authority children’s social care. Staff should never promise a child that they will not tell anyone about a report of any form of abuse, as this may ultimately not be in the best interes</w:t>
      </w:r>
      <w:r>
        <w:t xml:space="preserve">ts of the child. </w:t>
      </w:r>
    </w:p>
    <w:p w14:paraId="5F3C4EE6" w14:textId="77777777" w:rsidR="00A932C3" w:rsidRDefault="00324E68">
      <w:pPr>
        <w:numPr>
          <w:ilvl w:val="0"/>
          <w:numId w:val="3"/>
        </w:numPr>
        <w:spacing w:after="310"/>
        <w:ind w:right="2153"/>
      </w:pPr>
      <w:r>
        <w:t xml:space="preserve">All staff should be able to reassure victims that they are being taken seriously and that they will be supported and kept safe. A victim should never be given the impression that they are creating a problem by reporting any form of abuse and/or neglect. Nor should a victim ever be made to feel ashamed for making a report. </w:t>
      </w:r>
    </w:p>
    <w:p w14:paraId="27ABC5D1" w14:textId="77777777" w:rsidR="00A932C3" w:rsidRDefault="00324E68">
      <w:pPr>
        <w:numPr>
          <w:ilvl w:val="0"/>
          <w:numId w:val="3"/>
        </w:numPr>
        <w:spacing w:after="310"/>
        <w:ind w:right="2153"/>
      </w:pPr>
      <w:r>
        <w:t xml:space="preserve">All staff should be aware that children may not feel ready or know how to tell someone that they are being abused, exploited, or neglected, and/or they may not recognise their experiences as harmful. For example, children may feel embarrassed, humiliated, or are being threatened. This could be due to their vulnerability, disability and/or sexual orientation or language barriers. This should not prevent staff from having a professional curiosity and speaking to the designated safeguarding lead (or a deputy) </w:t>
      </w:r>
      <w:r>
        <w:t xml:space="preserve">if they have concerns about a child. It is also important that staff determine how best to build trusted relationships which facilitate communication with children and young people. </w:t>
      </w:r>
    </w:p>
    <w:p w14:paraId="03D0AADC" w14:textId="77777777" w:rsidR="00A932C3" w:rsidRDefault="00324E68">
      <w:pPr>
        <w:numPr>
          <w:ilvl w:val="0"/>
          <w:numId w:val="3"/>
        </w:numPr>
        <w:spacing w:after="243"/>
        <w:ind w:right="2153"/>
      </w:pPr>
      <w:r>
        <w:t xml:space="preserve">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 </w:t>
      </w:r>
    </w:p>
    <w:p w14:paraId="77377BC8" w14:textId="77777777" w:rsidR="00A932C3" w:rsidRDefault="00324E68">
      <w:pPr>
        <w:spacing w:after="0" w:line="259" w:lineRule="auto"/>
        <w:ind w:left="1" w:firstLine="0"/>
      </w:pPr>
      <w:r>
        <w:t xml:space="preserve"> </w:t>
      </w:r>
    </w:p>
    <w:p w14:paraId="26949AE6" w14:textId="77777777" w:rsidR="00A932C3" w:rsidRDefault="00324E68">
      <w:pPr>
        <w:pStyle w:val="Heading2"/>
        <w:spacing w:after="320"/>
        <w:ind w:left="275"/>
      </w:pPr>
      <w:r>
        <w:rPr>
          <w:color w:val="104F75"/>
          <w:sz w:val="32"/>
        </w:rPr>
        <w:t xml:space="preserve">What school and college staff should look out for </w:t>
      </w:r>
    </w:p>
    <w:p w14:paraId="2E072B1E" w14:textId="77777777" w:rsidR="00A932C3" w:rsidRDefault="00324E68">
      <w:pPr>
        <w:pStyle w:val="Heading3"/>
        <w:spacing w:after="229"/>
        <w:ind w:left="275"/>
      </w:pPr>
      <w:r>
        <w:rPr>
          <w:color w:val="104F75"/>
          <w:sz w:val="28"/>
        </w:rPr>
        <w:t>Support before statutory intervention</w:t>
      </w:r>
      <w:r>
        <w:rPr>
          <w:sz w:val="28"/>
        </w:rPr>
        <w:t xml:space="preserve"> </w:t>
      </w:r>
    </w:p>
    <w:p w14:paraId="640DF543" w14:textId="77777777" w:rsidR="00A932C3" w:rsidRDefault="00324E68">
      <w:pPr>
        <w:spacing w:after="191"/>
        <w:ind w:left="290" w:right="2111"/>
      </w:pPr>
      <w:r>
        <w:t xml:space="preserve">18. </w:t>
      </w:r>
      <w:r>
        <w:tab/>
        <w:t xml:space="preserve">Any child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 </w:t>
      </w:r>
    </w:p>
    <w:p w14:paraId="0687039B" w14:textId="77777777" w:rsidR="00A932C3" w:rsidRDefault="00324E68">
      <w:pPr>
        <w:numPr>
          <w:ilvl w:val="0"/>
          <w:numId w:val="7"/>
        </w:numPr>
        <w:ind w:right="10" w:hanging="360"/>
      </w:pPr>
      <w:r>
        <w:t>is disabled or has certain health conditions and has specific additional needs</w:t>
      </w:r>
      <w:r>
        <w:rPr>
          <w:rFonts w:ascii="Segoe UI Symbol" w:eastAsia="Segoe UI Symbol" w:hAnsi="Segoe UI Symbol" w:cs="Segoe UI Symbol"/>
        </w:rPr>
        <w:t xml:space="preserve"> </w:t>
      </w:r>
    </w:p>
    <w:p w14:paraId="04A1F2E1" w14:textId="77777777" w:rsidR="00A932C3" w:rsidRDefault="00324E68">
      <w:pPr>
        <w:numPr>
          <w:ilvl w:val="0"/>
          <w:numId w:val="7"/>
        </w:numPr>
        <w:ind w:right="10" w:hanging="360"/>
      </w:pPr>
      <w:r>
        <w:t>has special educational needs (whether or not they have a statutory Education, Health and Care plan)</w:t>
      </w:r>
      <w:r>
        <w:rPr>
          <w:rFonts w:ascii="Segoe UI Symbol" w:eastAsia="Segoe UI Symbol" w:hAnsi="Segoe UI Symbol" w:cs="Segoe UI Symbol"/>
        </w:rPr>
        <w:t xml:space="preserve"> </w:t>
      </w:r>
    </w:p>
    <w:p w14:paraId="53EF6399" w14:textId="77777777" w:rsidR="00A932C3" w:rsidRDefault="00324E68">
      <w:pPr>
        <w:numPr>
          <w:ilvl w:val="0"/>
          <w:numId w:val="7"/>
        </w:numPr>
        <w:ind w:right="10" w:hanging="360"/>
      </w:pPr>
      <w:r>
        <w:t>has a mental health need</w:t>
      </w:r>
      <w:r>
        <w:rPr>
          <w:rFonts w:ascii="Segoe UI Symbol" w:eastAsia="Segoe UI Symbol" w:hAnsi="Segoe UI Symbol" w:cs="Segoe UI Symbol"/>
        </w:rPr>
        <w:t xml:space="preserve"> </w:t>
      </w:r>
    </w:p>
    <w:p w14:paraId="21CCD7D3" w14:textId="77777777" w:rsidR="00A932C3" w:rsidRDefault="00324E68">
      <w:pPr>
        <w:numPr>
          <w:ilvl w:val="0"/>
          <w:numId w:val="7"/>
        </w:numPr>
        <w:ind w:right="10" w:hanging="360"/>
      </w:pPr>
      <w:r>
        <w:t>is a young carer</w:t>
      </w:r>
      <w:r>
        <w:rPr>
          <w:rFonts w:ascii="Segoe UI Symbol" w:eastAsia="Segoe UI Symbol" w:hAnsi="Segoe UI Symbol" w:cs="Segoe UI Symbol"/>
        </w:rPr>
        <w:t xml:space="preserve"> </w:t>
      </w:r>
    </w:p>
    <w:p w14:paraId="4A807B10" w14:textId="77777777" w:rsidR="00A932C3" w:rsidRDefault="00324E68">
      <w:pPr>
        <w:numPr>
          <w:ilvl w:val="0"/>
          <w:numId w:val="7"/>
        </w:numPr>
        <w:ind w:right="10" w:hanging="360"/>
      </w:pPr>
      <w:r>
        <w:t>is pregnant and/or is a parent themselves</w:t>
      </w:r>
      <w:r>
        <w:rPr>
          <w:rFonts w:ascii="Segoe UI Symbol" w:eastAsia="Segoe UI Symbol" w:hAnsi="Segoe UI Symbol" w:cs="Segoe UI Symbol"/>
        </w:rPr>
        <w:t xml:space="preserve"> </w:t>
      </w:r>
    </w:p>
    <w:p w14:paraId="3DFE049B" w14:textId="77777777" w:rsidR="00A932C3" w:rsidRDefault="00324E68">
      <w:pPr>
        <w:numPr>
          <w:ilvl w:val="0"/>
          <w:numId w:val="7"/>
        </w:numPr>
        <w:ind w:right="10" w:hanging="360"/>
      </w:pPr>
      <w:r>
        <w:t>has exhibited early signs of abusive, violent and/or harmful behaviours</w:t>
      </w:r>
      <w:r>
        <w:rPr>
          <w:rFonts w:ascii="Segoe UI Symbol" w:eastAsia="Segoe UI Symbol" w:hAnsi="Segoe UI Symbol" w:cs="Segoe UI Symbol"/>
        </w:rPr>
        <w:t xml:space="preserve"> </w:t>
      </w:r>
    </w:p>
    <w:p w14:paraId="55038872" w14:textId="77777777" w:rsidR="00A932C3" w:rsidRDefault="00324E68">
      <w:pPr>
        <w:numPr>
          <w:ilvl w:val="0"/>
          <w:numId w:val="7"/>
        </w:numPr>
        <w:spacing w:after="127" w:line="285" w:lineRule="auto"/>
        <w:ind w:right="10" w:hanging="360"/>
      </w:pPr>
      <w:r>
        <w:t>is showing signs of being drawn in to anti-social or criminal behaviour, including gang involvement and association with organised crime groups or county lines</w:t>
      </w:r>
      <w:r>
        <w:rPr>
          <w:rFonts w:ascii="Segoe UI Symbol" w:eastAsia="Segoe UI Symbol" w:hAnsi="Segoe UI Symbol" w:cs="Segoe UI Symbol"/>
        </w:rPr>
        <w:t xml:space="preserve"> </w:t>
      </w:r>
    </w:p>
    <w:p w14:paraId="03966AF7" w14:textId="77777777" w:rsidR="00A932C3" w:rsidRDefault="00324E68">
      <w:pPr>
        <w:numPr>
          <w:ilvl w:val="0"/>
          <w:numId w:val="7"/>
        </w:numPr>
        <w:ind w:right="10" w:hanging="360"/>
      </w:pPr>
      <w:r>
        <w:t>is frequently missing/goes missing from education, home or care</w:t>
      </w:r>
      <w:r>
        <w:rPr>
          <w:rFonts w:ascii="Segoe UI Symbol" w:eastAsia="Segoe UI Symbol" w:hAnsi="Segoe UI Symbol" w:cs="Segoe UI Symbol"/>
        </w:rPr>
        <w:t xml:space="preserve"> </w:t>
      </w:r>
    </w:p>
    <w:p w14:paraId="3C922846" w14:textId="77777777" w:rsidR="00A932C3" w:rsidRDefault="00324E68">
      <w:pPr>
        <w:numPr>
          <w:ilvl w:val="0"/>
          <w:numId w:val="7"/>
        </w:numPr>
        <w:spacing w:after="127" w:line="285" w:lineRule="auto"/>
        <w:ind w:right="10" w:hanging="360"/>
      </w:pPr>
      <w:r>
        <w:t>has been repeatedly removed from the classroom, experienced multiple suspensions, is on a part-time timetable, is at risk of being permanently excluded from schools, colleges and in Alternative Provision or a Pupil Referral Unit</w:t>
      </w:r>
      <w:r>
        <w:rPr>
          <w:rFonts w:ascii="Segoe UI Symbol" w:eastAsia="Segoe UI Symbol" w:hAnsi="Segoe UI Symbol" w:cs="Segoe UI Symbol"/>
        </w:rPr>
        <w:t xml:space="preserve"> </w:t>
      </w:r>
    </w:p>
    <w:p w14:paraId="4E1FD527" w14:textId="77777777" w:rsidR="00A932C3" w:rsidRDefault="00324E68">
      <w:pPr>
        <w:numPr>
          <w:ilvl w:val="0"/>
          <w:numId w:val="7"/>
        </w:numPr>
        <w:ind w:right="10" w:hanging="360"/>
      </w:pPr>
      <w:r>
        <w:t>is at risk of exploitation, modern slavery, trafficking, including criminal or sexual exploitation</w:t>
      </w:r>
      <w:r>
        <w:rPr>
          <w:rFonts w:ascii="Segoe UI Symbol" w:eastAsia="Segoe UI Symbol" w:hAnsi="Segoe UI Symbol" w:cs="Segoe UI Symbol"/>
        </w:rPr>
        <w:t xml:space="preserve"> </w:t>
      </w:r>
    </w:p>
    <w:p w14:paraId="36411D33" w14:textId="77777777" w:rsidR="00A932C3" w:rsidRDefault="00324E68">
      <w:pPr>
        <w:numPr>
          <w:ilvl w:val="0"/>
          <w:numId w:val="7"/>
        </w:numPr>
        <w:ind w:right="10" w:hanging="360"/>
      </w:pPr>
      <w:r>
        <w:t>is at risk of being radicalised into terrorism</w:t>
      </w:r>
      <w:r>
        <w:rPr>
          <w:rFonts w:ascii="Segoe UI Symbol" w:eastAsia="Segoe UI Symbol" w:hAnsi="Segoe UI Symbol" w:cs="Segoe UI Symbol"/>
        </w:rPr>
        <w:t xml:space="preserve"> </w:t>
      </w:r>
    </w:p>
    <w:p w14:paraId="7B09F3CF" w14:textId="77777777" w:rsidR="00A932C3" w:rsidRDefault="00324E68">
      <w:pPr>
        <w:numPr>
          <w:ilvl w:val="0"/>
          <w:numId w:val="7"/>
        </w:numPr>
        <w:ind w:right="10" w:hanging="360"/>
      </w:pPr>
      <w:r>
        <w:t>has a parent or carer in custody, or is affected by parental offending</w:t>
      </w:r>
      <w:r>
        <w:rPr>
          <w:rFonts w:ascii="Segoe UI Symbol" w:eastAsia="Segoe UI Symbol" w:hAnsi="Segoe UI Symbol" w:cs="Segoe UI Symbol"/>
        </w:rPr>
        <w:t xml:space="preserve"> </w:t>
      </w:r>
    </w:p>
    <w:p w14:paraId="47DB3493" w14:textId="77777777" w:rsidR="00A932C3" w:rsidRDefault="00324E68">
      <w:pPr>
        <w:numPr>
          <w:ilvl w:val="0"/>
          <w:numId w:val="7"/>
        </w:numPr>
        <w:ind w:right="10" w:hanging="360"/>
      </w:pPr>
      <w:r>
        <w:t>is in a family circumstance presenting challenges for the child, such as drug and alcohol misuse, adult mental health issues and domestic abuse</w:t>
      </w:r>
      <w:r>
        <w:rPr>
          <w:rFonts w:ascii="Segoe UI Symbol" w:eastAsia="Segoe UI Symbol" w:hAnsi="Segoe UI Symbol" w:cs="Segoe UI Symbol"/>
        </w:rPr>
        <w:t xml:space="preserve"> </w:t>
      </w:r>
    </w:p>
    <w:p w14:paraId="3F7CC64A" w14:textId="77777777" w:rsidR="00A932C3" w:rsidRDefault="00324E68">
      <w:pPr>
        <w:numPr>
          <w:ilvl w:val="0"/>
          <w:numId w:val="7"/>
        </w:numPr>
        <w:ind w:right="10" w:hanging="360"/>
      </w:pPr>
      <w:r>
        <w:t>is misusing alcohol and other drugs themselves</w:t>
      </w:r>
      <w:r>
        <w:rPr>
          <w:rFonts w:ascii="Segoe UI Symbol" w:eastAsia="Segoe UI Symbol" w:hAnsi="Segoe UI Symbol" w:cs="Segoe UI Symbol"/>
        </w:rPr>
        <w:t xml:space="preserve"> </w:t>
      </w:r>
    </w:p>
    <w:p w14:paraId="30CFEB63" w14:textId="77777777" w:rsidR="00A932C3" w:rsidRDefault="00324E68">
      <w:pPr>
        <w:numPr>
          <w:ilvl w:val="0"/>
          <w:numId w:val="7"/>
        </w:numPr>
        <w:ind w:right="10" w:hanging="360"/>
      </w:pPr>
      <w:r>
        <w:t>is at risk of honour or faith-based abuse such as Female Genital Mutilation or Forced Marriage, and</w:t>
      </w:r>
      <w:r>
        <w:rPr>
          <w:rFonts w:ascii="Segoe UI Symbol" w:eastAsia="Segoe UI Symbol" w:hAnsi="Segoe UI Symbol" w:cs="Segoe UI Symbol"/>
        </w:rPr>
        <w:t xml:space="preserve"> </w:t>
      </w:r>
    </w:p>
    <w:p w14:paraId="3385FB06" w14:textId="77777777" w:rsidR="00A932C3" w:rsidRDefault="00324E68">
      <w:pPr>
        <w:numPr>
          <w:ilvl w:val="0"/>
          <w:numId w:val="7"/>
        </w:numPr>
        <w:ind w:right="10" w:hanging="360"/>
      </w:pPr>
      <w:r>
        <w:t>is a privately fostered child.</w:t>
      </w:r>
      <w:r>
        <w:rPr>
          <w:rFonts w:ascii="Segoe UI Symbol" w:eastAsia="Segoe UI Symbol" w:hAnsi="Segoe UI Symbol" w:cs="Segoe UI Symbol"/>
        </w:rPr>
        <w:t xml:space="preserve"> </w:t>
      </w:r>
    </w:p>
    <w:p w14:paraId="35FBE8A7" w14:textId="77777777" w:rsidR="00A932C3" w:rsidRDefault="00324E68">
      <w:pPr>
        <w:spacing w:after="196" w:line="259" w:lineRule="auto"/>
        <w:ind w:left="1" w:firstLine="0"/>
      </w:pPr>
      <w:r>
        <w:t xml:space="preserve"> </w:t>
      </w:r>
    </w:p>
    <w:p w14:paraId="1C190F7C" w14:textId="77777777" w:rsidR="00A932C3" w:rsidRDefault="00324E68">
      <w:pPr>
        <w:pStyle w:val="Heading3"/>
        <w:spacing w:after="229"/>
        <w:ind w:left="275"/>
      </w:pPr>
      <w:r>
        <w:rPr>
          <w:color w:val="104F75"/>
          <w:sz w:val="28"/>
        </w:rPr>
        <w:t>Abuse, neglect and exploitation</w:t>
      </w:r>
      <w:r>
        <w:rPr>
          <w:sz w:val="28"/>
        </w:rPr>
        <w:t xml:space="preserve"> </w:t>
      </w:r>
    </w:p>
    <w:p w14:paraId="0873C019" w14:textId="77777777" w:rsidR="00A932C3" w:rsidRDefault="00324E68">
      <w:pPr>
        <w:numPr>
          <w:ilvl w:val="0"/>
          <w:numId w:val="8"/>
        </w:numPr>
        <w:spacing w:after="310"/>
        <w:ind w:right="2185"/>
      </w:pPr>
      <w:r>
        <w:t xml:space="preserve">All staff should be aware of the indicators of abuse, neglect, exploitation and modern slavery (see below), understanding that children can be at risk of harm inside and outside of the school/college, inside and outside of home, and online. Exercising professional curiosity and knowing what to look for is vital for the early identification of abuse and neglect so that staff are able to identify cases of children who may be in need of help or protection. </w:t>
      </w:r>
    </w:p>
    <w:p w14:paraId="5B9D2D76" w14:textId="77777777" w:rsidR="00A932C3" w:rsidRDefault="00324E68">
      <w:pPr>
        <w:numPr>
          <w:ilvl w:val="0"/>
          <w:numId w:val="8"/>
        </w:numPr>
        <w:spacing w:after="260" w:line="299" w:lineRule="auto"/>
        <w:ind w:right="2185"/>
      </w:pPr>
      <w:r>
        <w:t xml:space="preserve">All staff should be aware that abuse, neglect, exploitation, and safeguarding issues are rarely standalone events and cannot be covered by one definition or one label alone. In most cases, multiple issues will overlap. </w:t>
      </w:r>
    </w:p>
    <w:p w14:paraId="37E5F26B" w14:textId="77777777" w:rsidR="00A932C3" w:rsidRDefault="00324E68">
      <w:pPr>
        <w:numPr>
          <w:ilvl w:val="0"/>
          <w:numId w:val="8"/>
        </w:numPr>
        <w:spacing w:after="310"/>
        <w:ind w:right="2185"/>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048F894" wp14:editId="2A750DA0">
                <wp:simplePos x="0" y="0"/>
                <wp:positionH relativeFrom="page">
                  <wp:posOffset>4649361</wp:posOffset>
                </wp:positionH>
                <wp:positionV relativeFrom="page">
                  <wp:posOffset>10672450</wp:posOffset>
                </wp:positionV>
                <wp:extent cx="69318" cy="19934"/>
                <wp:effectExtent l="0" t="0" r="0" b="0"/>
                <wp:wrapTopAndBottom/>
                <wp:docPr id="47439" name="Group 47439"/>
                <wp:cNvGraphicFramePr/>
                <a:graphic xmlns:a="http://schemas.openxmlformats.org/drawingml/2006/main">
                  <a:graphicData uri="http://schemas.microsoft.com/office/word/2010/wordprocessingGroup">
                    <wpg:wgp>
                      <wpg:cNvGrpSpPr/>
                      <wpg:grpSpPr>
                        <a:xfrm>
                          <a:off x="0" y="0"/>
                          <a:ext cx="69318" cy="19934"/>
                          <a:chOff x="0" y="0"/>
                          <a:chExt cx="69318" cy="19934"/>
                        </a:xfrm>
                      </wpg:grpSpPr>
                      <wps:wsp>
                        <wps:cNvPr id="1414" name="Shape 1414"/>
                        <wps:cNvSpPr/>
                        <wps:spPr>
                          <a:xfrm>
                            <a:off x="0" y="0"/>
                            <a:ext cx="69318" cy="19934"/>
                          </a:xfrm>
                          <a:custGeom>
                            <a:avLst/>
                            <a:gdLst/>
                            <a:ahLst/>
                            <a:cxnLst/>
                            <a:rect l="0" t="0" r="0" b="0"/>
                            <a:pathLst>
                              <a:path w="69318" h="19934">
                                <a:moveTo>
                                  <a:pt x="22080" y="0"/>
                                </a:moveTo>
                                <a:lnTo>
                                  <a:pt x="29192" y="0"/>
                                </a:lnTo>
                                <a:lnTo>
                                  <a:pt x="63990" y="15367"/>
                                </a:lnTo>
                                <a:lnTo>
                                  <a:pt x="69318" y="19934"/>
                                </a:lnTo>
                                <a:lnTo>
                                  <a:pt x="0" y="19934"/>
                                </a:lnTo>
                                <a:lnTo>
                                  <a:pt x="17610" y="2324"/>
                                </a:lnTo>
                                <a:lnTo>
                                  <a:pt x="2208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47439" style="width:5.4581pt;height:1.56958pt;position:absolute;mso-position-horizontal-relative:page;mso-position-horizontal:absolute;margin-left:366.091pt;mso-position-vertical-relative:page;margin-top:840.35pt;" coordsize="693,199">
                <v:shape id="Shape 1414" style="position:absolute;width:693;height:199;left:0;top:0;" coordsize="69318,19934" path="m22080,0l29192,0l63990,15367l69318,19934l0,19934l17610,2324l22080,0x">
                  <v:stroke weight="0pt" endcap="flat" joinstyle="miter" miterlimit="10" on="false" color="#000000" opacity="0"/>
                  <v:fill on="true" color="#c0c0c0" opacity="0.501961"/>
                </v:shape>
                <w10:wrap type="topAndBottom"/>
              </v:group>
            </w:pict>
          </mc:Fallback>
        </mc:AlternateContent>
      </w:r>
      <w: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 including physical, sexual, emotional abuse, and stalking), </w:t>
      </w:r>
      <w:r>
        <w:t xml:space="preserve">criminal exploitation (including financial exploitation), serious youth violence, county lines and radicalisation. </w:t>
      </w:r>
    </w:p>
    <w:p w14:paraId="0B91B197" w14:textId="77777777" w:rsidR="00A932C3" w:rsidRDefault="00324E68">
      <w:pPr>
        <w:numPr>
          <w:ilvl w:val="0"/>
          <w:numId w:val="8"/>
        </w:numPr>
        <w:spacing w:after="310"/>
        <w:ind w:right="2185"/>
      </w:pPr>
      <w:r>
        <w:t xml:space="preserve">All staff should be aware that technology is a significant component in many safeguarding and wellbeing issues. Children are at risk of abuse and other risks online as well as face to face. In many cases abuse and other risks will take place concurrently both online and offline. </w:t>
      </w:r>
    </w:p>
    <w:p w14:paraId="6F56A29A" w14:textId="77777777" w:rsidR="00A932C3" w:rsidRDefault="00324E68">
      <w:pPr>
        <w:numPr>
          <w:ilvl w:val="0"/>
          <w:numId w:val="8"/>
        </w:numPr>
        <w:spacing w:after="310"/>
        <w:ind w:right="2185"/>
      </w:pPr>
      <w:r>
        <w:t xml:space="preserve">Children can also abuse other children online, this can take the form of abusive, harassing, and misogynistic/misandrist messages, the nonconsensual making or sharing of nudes or semi-nudes, especially around chat groups, and the sharing of abusive images and pornography to those who do not want to receive such content. </w:t>
      </w:r>
    </w:p>
    <w:p w14:paraId="69A8E95A" w14:textId="77777777" w:rsidR="00A932C3" w:rsidRDefault="00324E68">
      <w:pPr>
        <w:numPr>
          <w:ilvl w:val="0"/>
          <w:numId w:val="8"/>
        </w:numPr>
        <w:spacing w:after="198" w:line="289" w:lineRule="auto"/>
        <w:ind w:right="2185"/>
      </w:pPr>
      <w:r>
        <w:rPr>
          <w:b/>
        </w:rPr>
        <w:t>In all cases, if staff are unsure, they should always speak to the designated safeguarding lead or a deputy</w:t>
      </w:r>
      <w:r>
        <w:t>.</w:t>
      </w:r>
      <w:r>
        <w:rPr>
          <w:sz w:val="28"/>
        </w:rPr>
        <w:t xml:space="preserve"> </w:t>
      </w:r>
    </w:p>
    <w:p w14:paraId="100D01D5" w14:textId="77777777" w:rsidR="00A932C3" w:rsidRDefault="00324E68">
      <w:pPr>
        <w:pStyle w:val="Heading4"/>
        <w:ind w:left="275"/>
      </w:pPr>
      <w:r>
        <w:t>Indicators of abuse and neglect</w:t>
      </w:r>
      <w:r>
        <w:rPr>
          <w:color w:val="0F4761"/>
        </w:rPr>
        <w:t xml:space="preserve"> </w:t>
      </w:r>
    </w:p>
    <w:p w14:paraId="5E0BFD94" w14:textId="77777777" w:rsidR="00A932C3" w:rsidRDefault="00324E68">
      <w:pPr>
        <w:numPr>
          <w:ilvl w:val="0"/>
          <w:numId w:val="9"/>
        </w:numPr>
        <w:spacing w:after="308" w:line="259" w:lineRule="auto"/>
        <w:ind w:right="2213"/>
      </w:pPr>
      <w:r>
        <w:t>Abuse: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w:t>
      </w:r>
      <w:r>
        <w:t xml:space="preserve">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 </w:t>
      </w:r>
    </w:p>
    <w:p w14:paraId="0D0BEF42" w14:textId="77777777" w:rsidR="00A932C3" w:rsidRDefault="00324E68">
      <w:pPr>
        <w:numPr>
          <w:ilvl w:val="0"/>
          <w:numId w:val="9"/>
        </w:numPr>
        <w:spacing w:after="309"/>
        <w:ind w:right="2213"/>
      </w:pPr>
      <w:r>
        <w:rPr>
          <w:b/>
        </w:rPr>
        <w:t>Physical abuse</w:t>
      </w:r>
      <w: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DE67E50" w14:textId="77777777" w:rsidR="00A932C3" w:rsidRDefault="00324E68">
      <w:pPr>
        <w:numPr>
          <w:ilvl w:val="0"/>
          <w:numId w:val="9"/>
        </w:numPr>
        <w:spacing w:after="309"/>
        <w:ind w:right="2213"/>
      </w:pPr>
      <w:r>
        <w:rPr>
          <w:b/>
        </w:rPr>
        <w:t>Emotional abuse</w:t>
      </w:r>
      <w: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w:t>
      </w:r>
      <w:r>
        <w:t xml:space="preserve">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w:t>
      </w:r>
      <w:r>
        <w:t xml:space="preserve"> or the exploitation or corruption of children. Some level of emotional abuse is involved in all types of maltreatment of a child, although it may occur alone. </w:t>
      </w:r>
    </w:p>
    <w:p w14:paraId="2E88738B" w14:textId="77777777" w:rsidR="00A932C3" w:rsidRDefault="00324E68">
      <w:pPr>
        <w:numPr>
          <w:ilvl w:val="0"/>
          <w:numId w:val="9"/>
        </w:numPr>
        <w:spacing w:after="312"/>
        <w:ind w:right="2213"/>
      </w:pPr>
      <w:r>
        <w:rPr>
          <w:b/>
        </w:rPr>
        <w:t xml:space="preserve">Sexual abuse: </w:t>
      </w:r>
      <w:r>
        <w:t>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w:t>
      </w:r>
      <w:r>
        <w:t xml:space="preserve">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w:t>
      </w:r>
      <w:r>
        <w:t xml:space="preserve">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w:t>
      </w:r>
      <w:hyperlink r:id="rId15">
        <w:r>
          <w:rPr>
            <w:color w:val="467886"/>
            <w:u w:val="single" w:color="467886"/>
          </w:rPr>
          <w:t>offences for children under 13</w:t>
        </w:r>
      </w:hyperlink>
      <w:hyperlink r:id="rId16">
        <w:r>
          <w:t>,</w:t>
        </w:r>
      </w:hyperlink>
      <w:r>
        <w:t xml:space="preserve"> who can never provide valid consent to sexual activity and there are specific offences which make clear that </w:t>
      </w:r>
      <w:hyperlink r:id="rId17">
        <w:r>
          <w:rPr>
            <w:color w:val="467886"/>
            <w:u w:val="single" w:color="467886"/>
          </w:rPr>
          <w:t>sexual</w:t>
        </w:r>
      </w:hyperlink>
      <w:hyperlink r:id="rId18">
        <w:r>
          <w:rPr>
            <w:color w:val="467886"/>
          </w:rPr>
          <w:t xml:space="preserve"> </w:t>
        </w:r>
      </w:hyperlink>
      <w:hyperlink r:id="rId19">
        <w:r>
          <w:rPr>
            <w:color w:val="467886"/>
            <w:u w:val="single" w:color="467886"/>
          </w:rPr>
          <w:t>activity involving a child under 16 is an offence</w:t>
        </w:r>
      </w:hyperlink>
      <w:hyperlink r:id="rId20">
        <w:r>
          <w:t>,</w:t>
        </w:r>
      </w:hyperlink>
      <w:r>
        <w:t xml:space="preserve"> regardless of whether they agreed to that activity. </w:t>
      </w:r>
    </w:p>
    <w:p w14:paraId="43C562FA" w14:textId="77777777" w:rsidR="00A932C3" w:rsidRDefault="00324E68">
      <w:pPr>
        <w:numPr>
          <w:ilvl w:val="0"/>
          <w:numId w:val="9"/>
        </w:numPr>
        <w:spacing w:after="121"/>
        <w:ind w:right="2213"/>
      </w:pPr>
      <w:r>
        <w:rPr>
          <w:b/>
        </w:rPr>
        <w:t>Neglect</w:t>
      </w:r>
      <w: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w:t>
      </w:r>
      <w:r>
        <w:t xml:space="preserve">cluding the use of inadequate caregivers); or ensure access to appropriate medical care or treatment. It may also include neglect of, or unresponsiveness to, a child’s basic emotional needs. </w:t>
      </w:r>
    </w:p>
    <w:p w14:paraId="0672F59A" w14:textId="77777777" w:rsidR="00A932C3" w:rsidRDefault="00324E68">
      <w:pPr>
        <w:spacing w:after="198" w:line="259" w:lineRule="auto"/>
        <w:ind w:left="1" w:firstLine="0"/>
      </w:pPr>
      <w:r>
        <w:t xml:space="preserve"> </w:t>
      </w:r>
    </w:p>
    <w:p w14:paraId="0344D430" w14:textId="77777777" w:rsidR="00A932C3" w:rsidRDefault="00324E68">
      <w:pPr>
        <w:pStyle w:val="Heading3"/>
        <w:spacing w:after="229"/>
        <w:ind w:left="275"/>
      </w:pPr>
      <w:r>
        <w:rPr>
          <w:color w:val="104F75"/>
          <w:sz w:val="28"/>
        </w:rPr>
        <w:t>Safeguarding issues</w:t>
      </w:r>
      <w:r>
        <w:rPr>
          <w:sz w:val="28"/>
        </w:rPr>
        <w:t xml:space="preserve"> </w:t>
      </w:r>
    </w:p>
    <w:p w14:paraId="028CF49B" w14:textId="77777777" w:rsidR="00A932C3" w:rsidRDefault="00324E68">
      <w:pPr>
        <w:spacing w:after="47"/>
        <w:ind w:left="290" w:right="2163"/>
      </w:pPr>
      <w:r>
        <w:t xml:space="preserve">30. </w:t>
      </w:r>
      <w:r>
        <w:tab/>
        <w:t xml:space="preserve">All staff should have an awareness of safeguarding issues that often overlap and can put children at risk of harm (including but not limited to those listed below). The following behaviours and indicators can be signs that children are at risk: </w:t>
      </w:r>
    </w:p>
    <w:p w14:paraId="74909681" w14:textId="77777777" w:rsidR="00A932C3" w:rsidRDefault="00324E68">
      <w:pPr>
        <w:spacing w:after="188" w:line="259" w:lineRule="auto"/>
        <w:ind w:left="291" w:firstLine="0"/>
      </w:pPr>
      <w:r>
        <w:t xml:space="preserve"> </w:t>
      </w:r>
    </w:p>
    <w:p w14:paraId="69EACC8A" w14:textId="77777777" w:rsidR="00A932C3" w:rsidRDefault="00324E68">
      <w:pPr>
        <w:numPr>
          <w:ilvl w:val="0"/>
          <w:numId w:val="10"/>
        </w:numPr>
        <w:ind w:right="98" w:hanging="360"/>
      </w:pPr>
      <w:r>
        <w:t>drug taking and/or alcohol misuse</w:t>
      </w:r>
      <w:r>
        <w:rPr>
          <w:rFonts w:ascii="Segoe UI Symbol" w:eastAsia="Segoe UI Symbol" w:hAnsi="Segoe UI Symbol" w:cs="Segoe UI Symbol"/>
        </w:rPr>
        <w:t xml:space="preserve"> </w:t>
      </w:r>
    </w:p>
    <w:p w14:paraId="6FB5C23E" w14:textId="77777777" w:rsidR="00A932C3" w:rsidRDefault="00324E68">
      <w:pPr>
        <w:numPr>
          <w:ilvl w:val="0"/>
          <w:numId w:val="10"/>
        </w:numPr>
        <w:ind w:right="98" w:hanging="360"/>
      </w:pPr>
      <w:r>
        <w:t>unexplainable and/or persistent absences from education</w:t>
      </w:r>
      <w:r>
        <w:rPr>
          <w:rFonts w:ascii="Segoe UI Symbol" w:eastAsia="Segoe UI Symbol" w:hAnsi="Segoe UI Symbol" w:cs="Segoe UI Symbol"/>
        </w:rPr>
        <w:t xml:space="preserve"> </w:t>
      </w:r>
    </w:p>
    <w:p w14:paraId="2AE9A4E2" w14:textId="77777777" w:rsidR="00A932C3" w:rsidRDefault="00324E68">
      <w:pPr>
        <w:numPr>
          <w:ilvl w:val="0"/>
          <w:numId w:val="10"/>
        </w:numPr>
        <w:ind w:right="98" w:hanging="360"/>
      </w:pPr>
      <w:r>
        <w:t>serious violence, criminal exploitation (including that linked to county lines), radicalisation, and</w:t>
      </w:r>
      <w:r>
        <w:rPr>
          <w:rFonts w:ascii="Segoe UI Symbol" w:eastAsia="Segoe UI Symbol" w:hAnsi="Segoe UI Symbol" w:cs="Segoe UI Symbol"/>
        </w:rPr>
        <w:t xml:space="preserve"> </w:t>
      </w:r>
    </w:p>
    <w:p w14:paraId="60673C5B" w14:textId="77777777" w:rsidR="00A932C3" w:rsidRDefault="00324E68">
      <w:pPr>
        <w:numPr>
          <w:ilvl w:val="0"/>
          <w:numId w:val="10"/>
        </w:numPr>
        <w:ind w:right="98" w:hanging="360"/>
      </w:pPr>
      <w:r>
        <w:t>consensual and non-consensual making or sharing of nudes or seminudes.</w:t>
      </w:r>
      <w:r>
        <w:rPr>
          <w:rFonts w:ascii="Segoe UI Symbol" w:eastAsia="Segoe UI Symbol" w:hAnsi="Segoe UI Symbol" w:cs="Segoe UI Symbol"/>
        </w:rPr>
        <w:t xml:space="preserve">  </w:t>
      </w:r>
    </w:p>
    <w:p w14:paraId="7383491F" w14:textId="77777777" w:rsidR="00A932C3" w:rsidRDefault="00324E68">
      <w:pPr>
        <w:spacing w:after="150" w:line="289" w:lineRule="auto"/>
        <w:ind w:left="651"/>
      </w:pPr>
      <w:r>
        <w:rPr>
          <w:b/>
        </w:rPr>
        <w:t xml:space="preserve">Additional information on these safeguarding issues and information on other safeguarding issues is included in the Annex. </w:t>
      </w:r>
    </w:p>
    <w:p w14:paraId="0E9910D8" w14:textId="77777777" w:rsidR="00A932C3" w:rsidRDefault="00324E68">
      <w:pPr>
        <w:pStyle w:val="Heading4"/>
        <w:spacing w:after="295"/>
        <w:ind w:left="275"/>
      </w:pPr>
      <w:r>
        <w:t>Child-on-child abuse (including harassment and violence)</w:t>
      </w:r>
      <w:r>
        <w:rPr>
          <w:color w:val="0F4761"/>
        </w:rPr>
        <w:t xml:space="preserve"> </w:t>
      </w:r>
    </w:p>
    <w:p w14:paraId="2127D535" w14:textId="77777777" w:rsidR="00A932C3" w:rsidRDefault="00324E68">
      <w:pPr>
        <w:numPr>
          <w:ilvl w:val="0"/>
          <w:numId w:val="11"/>
        </w:numPr>
        <w:spacing w:after="310"/>
        <w:ind w:right="2166"/>
      </w:pPr>
      <w:r>
        <w:t xml:space="preserve">All staff should be aware that children can abuse other children (often referred to as child-on-child abuse), and that it can happen both inside and outside of school or college and online. All staff should be clear as to the school or college’s policy and procedures with regard to child-onchild abuse and the important role they have to play in preventing it and responding where they believe a child may be at risk from it. </w:t>
      </w:r>
    </w:p>
    <w:p w14:paraId="102B2893" w14:textId="77777777" w:rsidR="00A932C3" w:rsidRDefault="00324E68">
      <w:pPr>
        <w:numPr>
          <w:ilvl w:val="0"/>
          <w:numId w:val="11"/>
        </w:numPr>
        <w:spacing w:after="310"/>
        <w:ind w:right="2166"/>
      </w:pPr>
      <w:r>
        <w:rPr>
          <w:b/>
        </w:rPr>
        <w:t xml:space="preserve">All </w:t>
      </w:r>
      <w:r>
        <w:t xml:space="preserve">staff should recognise that racism, faith-targeted abuse, and other forms of discriminatory behaviour may have a significant impact on a child’s welfare, wellbeing and sense of safety and should be considered within safeguarding practice where appropriate. </w:t>
      </w:r>
    </w:p>
    <w:p w14:paraId="62C04C78" w14:textId="77777777" w:rsidR="00A932C3" w:rsidRDefault="00324E68">
      <w:pPr>
        <w:numPr>
          <w:ilvl w:val="0"/>
          <w:numId w:val="11"/>
        </w:numPr>
        <w:spacing w:after="310"/>
        <w:ind w:right="2166"/>
      </w:pPr>
      <w:r>
        <w:rPr>
          <w:b/>
        </w:rPr>
        <w:t xml:space="preserve">All </w:t>
      </w:r>
      <w:r>
        <w:t xml:space="preserve">staff should understand that even if there are no reports in their schools or colleges it does not mean it is not happening. It may be the case that abuse is not being reported. As such it is important that when staff have </w:t>
      </w:r>
      <w:r>
        <w:rPr>
          <w:b/>
        </w:rPr>
        <w:t xml:space="preserve">any </w:t>
      </w:r>
      <w:r>
        <w:t xml:space="preserve">concerns regarding child-on-child abuse (whether these concerns are thought to have taken place on or off-site) they should speak to their designated safeguarding lead (or a deputy). As part of this, schools should also try to be alert to when children might be at highest risk around </w:t>
      </w:r>
      <w:r>
        <w:t xml:space="preserve">the school day (for example immediately after school). </w:t>
      </w:r>
    </w:p>
    <w:p w14:paraId="064272DC" w14:textId="77777777" w:rsidR="00A932C3" w:rsidRDefault="00324E68">
      <w:pPr>
        <w:numPr>
          <w:ilvl w:val="0"/>
          <w:numId w:val="11"/>
        </w:numPr>
        <w:spacing w:after="310"/>
        <w:ind w:right="2166"/>
      </w:pPr>
      <w:r>
        <w:t xml:space="preserve">It is essential that </w:t>
      </w:r>
      <w:r>
        <w:rPr>
          <w:b/>
        </w:rPr>
        <w:t xml:space="preserve">all </w:t>
      </w:r>
      <w:r>
        <w:t>staff understand the importance of challenging inappropriate behaviours between children that are abusive in nature. Examples of which are listed below. Downplaying certain behaviours, for example dismissing sexual harassment as “just banter”, “just having a laugh”, “part of growing up” or “boys being boys” can lead to a culture of unacceptable behaviour, misogyny, an unsafe environment for children and in worst case scenarios a culture that normalises abuse leading to children accepting it as normal an</w:t>
      </w:r>
      <w:r>
        <w:t xml:space="preserve">d not coming forward to report it. </w:t>
      </w:r>
    </w:p>
    <w:p w14:paraId="3E3D1E8A" w14:textId="77777777" w:rsidR="00A932C3" w:rsidRDefault="00324E68">
      <w:pPr>
        <w:numPr>
          <w:ilvl w:val="0"/>
          <w:numId w:val="11"/>
        </w:numPr>
        <w:spacing w:after="256" w:line="302" w:lineRule="auto"/>
        <w:ind w:right="2166"/>
      </w:pPr>
      <w:r>
        <w:rPr>
          <w:b/>
        </w:rPr>
        <w:t xml:space="preserve">All </w:t>
      </w:r>
      <w:r>
        <w:t xml:space="preserve">staff should be aware that child-on-child abuse is a safeguarding issue for both the victim and alleged perpetrator. </w:t>
      </w:r>
    </w:p>
    <w:p w14:paraId="49C96BF3" w14:textId="77777777" w:rsidR="00A932C3" w:rsidRDefault="00324E68">
      <w:pPr>
        <w:numPr>
          <w:ilvl w:val="0"/>
          <w:numId w:val="11"/>
        </w:numPr>
        <w:spacing w:after="264" w:line="299" w:lineRule="auto"/>
        <w:ind w:right="2166"/>
      </w:pPr>
      <w:r>
        <w:t xml:space="preserve">As well as knowing how to respond to concerns, </w:t>
      </w:r>
      <w:r>
        <w:rPr>
          <w:b/>
        </w:rPr>
        <w:t xml:space="preserve">all </w:t>
      </w:r>
      <w:r>
        <w:t xml:space="preserve">staff should know that child-on-child abuse is preventable. As well as knowing how to recognise behaviours and indicators of risk early, staff should know that timely, evidence-based support can be key to preventing children from going on to commit abuse or violence. </w:t>
      </w:r>
    </w:p>
    <w:p w14:paraId="4F3F1E9F" w14:textId="77777777" w:rsidR="00A932C3" w:rsidRDefault="00324E68">
      <w:pPr>
        <w:numPr>
          <w:ilvl w:val="0"/>
          <w:numId w:val="11"/>
        </w:numPr>
        <w:spacing w:after="205" w:line="302" w:lineRule="auto"/>
        <w:ind w:right="2166"/>
      </w:pPr>
      <w:r>
        <w:t xml:space="preserve">Child-on-child abuse is most likely to include, but may not be limited to: </w:t>
      </w:r>
    </w:p>
    <w:p w14:paraId="43868F54" w14:textId="77777777" w:rsidR="00A932C3" w:rsidRDefault="00324E68">
      <w:pPr>
        <w:numPr>
          <w:ilvl w:val="1"/>
          <w:numId w:val="11"/>
        </w:numPr>
        <w:ind w:right="976" w:hanging="360"/>
      </w:pPr>
      <w:r>
        <w:t>bullying (including cyberbullying, prejudice-based and discriminatory bullying),</w:t>
      </w:r>
      <w:r>
        <w:rPr>
          <w:rFonts w:ascii="Segoe UI Symbol" w:eastAsia="Segoe UI Symbol" w:hAnsi="Segoe UI Symbol" w:cs="Segoe UI Symbol"/>
        </w:rPr>
        <w:t xml:space="preserve"> </w:t>
      </w:r>
    </w:p>
    <w:p w14:paraId="1C3573FE" w14:textId="77777777" w:rsidR="00A932C3" w:rsidRDefault="00324E68">
      <w:pPr>
        <w:numPr>
          <w:ilvl w:val="1"/>
          <w:numId w:val="11"/>
        </w:numPr>
        <w:ind w:right="976" w:hanging="360"/>
      </w:pPr>
      <w:r>
        <w:t>discriminatory behaviour, including racism, faith-targeted abuse, and other prejudicebased incidents,</w:t>
      </w:r>
      <w:r>
        <w:rPr>
          <w:rFonts w:ascii="Segoe UI Symbol" w:eastAsia="Segoe UI Symbol" w:hAnsi="Segoe UI Symbol" w:cs="Segoe UI Symbol"/>
        </w:rPr>
        <w:t xml:space="preserve"> </w:t>
      </w:r>
    </w:p>
    <w:p w14:paraId="49AF8F05" w14:textId="77777777" w:rsidR="00A932C3" w:rsidRDefault="00324E68">
      <w:pPr>
        <w:numPr>
          <w:ilvl w:val="1"/>
          <w:numId w:val="11"/>
        </w:numPr>
        <w:ind w:right="976" w:hanging="360"/>
      </w:pPr>
      <w:r>
        <w:t>abuse in intimate personal relationships between children (sometimes known as ‘teenage relationship abuse’),</w:t>
      </w:r>
      <w:r>
        <w:rPr>
          <w:rFonts w:ascii="Segoe UI Symbol" w:eastAsia="Segoe UI Symbol" w:hAnsi="Segoe UI Symbol" w:cs="Segoe UI Symbol"/>
        </w:rPr>
        <w:t xml:space="preserve"> </w:t>
      </w:r>
    </w:p>
    <w:p w14:paraId="6F0E920C" w14:textId="77777777" w:rsidR="00A932C3" w:rsidRDefault="00324E68">
      <w:pPr>
        <w:numPr>
          <w:ilvl w:val="1"/>
          <w:numId w:val="11"/>
        </w:numPr>
        <w:spacing w:after="127" w:line="285" w:lineRule="auto"/>
        <w:ind w:right="976" w:hanging="360"/>
      </w:pPr>
      <w:r>
        <w:t>physical abuse such as hitting, kicking, shaking, biting, hair pulling, or otherwise causing physical harm (this may include an online element which facilitates, threatens and/or encourages physical abuse),</w:t>
      </w:r>
      <w:r>
        <w:rPr>
          <w:rFonts w:ascii="Segoe UI Symbol" w:eastAsia="Segoe UI Symbol" w:hAnsi="Segoe UI Symbol" w:cs="Segoe UI Symbol"/>
        </w:rPr>
        <w:t xml:space="preserve"> </w:t>
      </w:r>
    </w:p>
    <w:p w14:paraId="1D05D165" w14:textId="77777777" w:rsidR="00A932C3" w:rsidRDefault="00324E68">
      <w:pPr>
        <w:numPr>
          <w:ilvl w:val="1"/>
          <w:numId w:val="11"/>
        </w:numPr>
        <w:spacing w:after="137"/>
        <w:ind w:right="976" w:hanging="360"/>
      </w:pPr>
      <w:r>
        <w:t>serious physical assault and harm, or the threat of harm with a weapon,</w:t>
      </w:r>
      <w:r>
        <w:rPr>
          <w:rFonts w:ascii="Segoe UI Symbol" w:eastAsia="Segoe UI Symbol" w:hAnsi="Segoe UI Symbol" w:cs="Segoe UI Symbol"/>
        </w:rPr>
        <w:t xml:space="preserve"> </w:t>
      </w:r>
    </w:p>
    <w:p w14:paraId="033ECD10" w14:textId="77777777" w:rsidR="00A932C3" w:rsidRDefault="00324E68">
      <w:pPr>
        <w:numPr>
          <w:ilvl w:val="1"/>
          <w:numId w:val="11"/>
        </w:numPr>
        <w:spacing w:after="127" w:line="285" w:lineRule="auto"/>
        <w:ind w:right="976" w:hanging="360"/>
      </w:pPr>
      <w:r>
        <w:t>sexual violence</w:t>
      </w:r>
      <w:r>
        <w:rPr>
          <w:vertAlign w:val="superscript"/>
        </w:rPr>
        <w:footnoteReference w:id="4"/>
      </w:r>
      <w:r>
        <w:rPr>
          <w:sz w:val="22"/>
          <w:vertAlign w:val="superscript"/>
        </w:rPr>
        <w:t xml:space="preserve"> </w:t>
      </w:r>
      <w:r>
        <w:t>such as rape, assault by penetration and sexual assault (this may include an online element which facilitates, threatens and/or encourages sexual violence),</w:t>
      </w:r>
      <w:r>
        <w:rPr>
          <w:rFonts w:ascii="Segoe UI Symbol" w:eastAsia="Segoe UI Symbol" w:hAnsi="Segoe UI Symbol" w:cs="Segoe UI Symbol"/>
        </w:rPr>
        <w:t xml:space="preserve"> </w:t>
      </w:r>
    </w:p>
    <w:p w14:paraId="1B4D8939" w14:textId="77777777" w:rsidR="00A932C3" w:rsidRDefault="00324E68">
      <w:pPr>
        <w:numPr>
          <w:ilvl w:val="1"/>
          <w:numId w:val="11"/>
        </w:numPr>
        <w:spacing w:after="127" w:line="285" w:lineRule="auto"/>
        <w:ind w:right="976" w:hanging="360"/>
      </w:pPr>
      <w:r>
        <w:t>sexual harassment</w:t>
      </w:r>
      <w:r>
        <w:rPr>
          <w:vertAlign w:val="superscript"/>
        </w:rPr>
        <w:footnoteReference w:id="5"/>
      </w:r>
      <w:r>
        <w:rPr>
          <w:vertAlign w:val="superscript"/>
        </w:rPr>
        <w:t xml:space="preserve"> </w:t>
      </w:r>
      <w:r>
        <w:t>such as sexual comments, remarks, jokes and online sexual harassment, which may be standalone or part of a broader pattern of abuse,</w:t>
      </w:r>
      <w:r>
        <w:rPr>
          <w:rFonts w:ascii="Segoe UI Symbol" w:eastAsia="Segoe UI Symbol" w:hAnsi="Segoe UI Symbol" w:cs="Segoe UI Symbol"/>
        </w:rPr>
        <w:t xml:space="preserve"> </w:t>
      </w:r>
    </w:p>
    <w:p w14:paraId="08962236" w14:textId="77777777" w:rsidR="00A932C3" w:rsidRDefault="00324E68">
      <w:pPr>
        <w:numPr>
          <w:ilvl w:val="1"/>
          <w:numId w:val="11"/>
        </w:numPr>
        <w:spacing w:after="127" w:line="285" w:lineRule="auto"/>
        <w:ind w:right="976" w:hanging="360"/>
      </w:pPr>
      <w:r>
        <w:t>causing someone to engage in sexual activity without consent, such as forcing someone to strip, touch themselves sexually, or to engage in sexual activity with a third party,</w:t>
      </w:r>
      <w:r>
        <w:rPr>
          <w:rFonts w:ascii="Segoe UI Symbol" w:eastAsia="Segoe UI Symbol" w:hAnsi="Segoe UI Symbol" w:cs="Segoe UI Symbol"/>
        </w:rPr>
        <w:t xml:space="preserve"> </w:t>
      </w:r>
    </w:p>
    <w:p w14:paraId="02AB1536" w14:textId="77777777" w:rsidR="00A932C3" w:rsidRDefault="00324E68">
      <w:pPr>
        <w:numPr>
          <w:ilvl w:val="1"/>
          <w:numId w:val="11"/>
        </w:numPr>
        <w:spacing w:after="195"/>
        <w:ind w:right="976" w:hanging="360"/>
      </w:pPr>
      <w:r>
        <w:t>consensual and non-consensual making or sharing of nudes and seminudes</w:t>
      </w:r>
      <w:r>
        <w:rPr>
          <w:vertAlign w:val="superscript"/>
        </w:rPr>
        <w:footnoteReference w:id="6"/>
      </w:r>
      <w:r>
        <w:t>,</w:t>
      </w:r>
      <w:r>
        <w:rPr>
          <w:rFonts w:ascii="Segoe UI Symbol" w:eastAsia="Segoe UI Symbol" w:hAnsi="Segoe UI Symbol" w:cs="Segoe UI Symbol"/>
        </w:rPr>
        <w:t xml:space="preserve"> </w:t>
      </w:r>
    </w:p>
    <w:p w14:paraId="785976CE" w14:textId="77777777" w:rsidR="00A932C3" w:rsidRDefault="00324E68">
      <w:pPr>
        <w:numPr>
          <w:ilvl w:val="1"/>
          <w:numId w:val="11"/>
        </w:numPr>
        <w:spacing w:after="127" w:line="285" w:lineRule="auto"/>
        <w:ind w:right="976" w:hanging="360"/>
      </w:pPr>
      <w:r>
        <w:t>upskirting</w:t>
      </w:r>
      <w:r>
        <w:rPr>
          <w:vertAlign w:val="superscript"/>
        </w:rPr>
        <w:footnoteReference w:id="7"/>
      </w:r>
      <w:r>
        <w:t xml:space="preserve"> which typically involves taking a picture under a person’s clothing without their permission, with the intention of viewing their genitals or buttocks to obtain sexual gratification, or cause the victim humiliation, distress, or alarm, and</w:t>
      </w:r>
      <w:r>
        <w:rPr>
          <w:rFonts w:ascii="Segoe UI Symbol" w:eastAsia="Segoe UI Symbol" w:hAnsi="Segoe UI Symbol" w:cs="Segoe UI Symbol"/>
        </w:rPr>
        <w:t xml:space="preserve"> </w:t>
      </w:r>
    </w:p>
    <w:p w14:paraId="1B2FB3E7" w14:textId="77777777" w:rsidR="00A932C3" w:rsidRDefault="00324E68">
      <w:pPr>
        <w:numPr>
          <w:ilvl w:val="1"/>
          <w:numId w:val="11"/>
        </w:numPr>
        <w:spacing w:after="143"/>
        <w:ind w:right="976" w:hanging="360"/>
      </w:pPr>
      <w:r>
        <w:t xml:space="preserve">initiation/hazing type violence and rituals (this could include activities involving harassment, abuse or humiliation used as a way of initiating a person into a </w:t>
      </w:r>
    </w:p>
    <w:p w14:paraId="10156117"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67986E04" wp14:editId="5DC186D0">
                <wp:extent cx="1828800" cy="6858"/>
                <wp:effectExtent l="0" t="0" r="0" b="0"/>
                <wp:docPr id="48428" name="Group 48428"/>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57" name="Shape 57657"/>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428" style="width:144pt;height:0.539978pt;mso-position-horizontal-relative:char;mso-position-vertical-relative:line" coordsize="18288,68">
                <v:shape id="Shape 57658"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1F3A5D5D" w14:textId="77777777" w:rsidR="00A932C3" w:rsidRDefault="00324E68">
      <w:pPr>
        <w:spacing w:after="52"/>
        <w:ind w:left="1371" w:right="10"/>
      </w:pPr>
      <w:r>
        <w:t xml:space="preserve">group and may also include an online element). </w:t>
      </w:r>
    </w:p>
    <w:p w14:paraId="1D1C807E" w14:textId="77777777" w:rsidR="00A932C3" w:rsidRDefault="00324E68">
      <w:pPr>
        <w:spacing w:after="146" w:line="259" w:lineRule="auto"/>
        <w:ind w:left="1361" w:firstLine="0"/>
      </w:pPr>
      <w:r>
        <w:rPr>
          <w:rFonts w:ascii="Segoe UI Symbol" w:eastAsia="Segoe UI Symbol" w:hAnsi="Segoe UI Symbol" w:cs="Segoe UI Symbol"/>
        </w:rPr>
        <w:t xml:space="preserve"> </w:t>
      </w:r>
    </w:p>
    <w:p w14:paraId="697A3517" w14:textId="77777777" w:rsidR="00A932C3" w:rsidRDefault="00324E68">
      <w:pPr>
        <w:pStyle w:val="Heading4"/>
        <w:ind w:left="275"/>
      </w:pPr>
      <w:r>
        <w:t>Child criminal exploitation (CCE) and child sexual exploitation (CSE)</w:t>
      </w:r>
      <w:r>
        <w:rPr>
          <w:color w:val="0F4761"/>
        </w:rPr>
        <w:t xml:space="preserve"> </w:t>
      </w:r>
    </w:p>
    <w:p w14:paraId="1053B2F6" w14:textId="77777777" w:rsidR="00A932C3" w:rsidRDefault="00324E68">
      <w:pPr>
        <w:spacing w:after="46"/>
        <w:ind w:left="290" w:right="2227"/>
      </w:pPr>
      <w:r>
        <w:t xml:space="preserve">38. </w:t>
      </w:r>
      <w:r>
        <w:tab/>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w:t>
      </w:r>
      <w:r>
        <w:t xml:space="preserve">y as being part of this group. CCE and CSE can affect children, both male and female, and can include children who have been moved (commonly referred to as trafficking) for the purpose of exploitation. This may constitute modern slavery, and further information is available in the </w:t>
      </w:r>
      <w:hyperlink r:id="rId21">
        <w:r>
          <w:t xml:space="preserve">Modern </w:t>
        </w:r>
      </w:hyperlink>
      <w:hyperlink r:id="rId22">
        <w:r>
          <w:t xml:space="preserve">Slavery statutory guidance. </w:t>
        </w:r>
      </w:hyperlink>
      <w:r>
        <w:t xml:space="preserve">In accordance with this guidance, a relevant child protection and modern slavery referral should be completed where a potential victim of CCE or CSE is identified. </w:t>
      </w:r>
    </w:p>
    <w:p w14:paraId="760547A7" w14:textId="77777777" w:rsidR="00A932C3" w:rsidRDefault="00324E68">
      <w:pPr>
        <w:spacing w:after="260" w:line="259" w:lineRule="auto"/>
        <w:ind w:left="291" w:firstLine="0"/>
      </w:pPr>
      <w:r>
        <w:t xml:space="preserve"> </w:t>
      </w:r>
    </w:p>
    <w:p w14:paraId="439ACC07" w14:textId="77777777" w:rsidR="00A932C3" w:rsidRDefault="00324E68">
      <w:pPr>
        <w:pStyle w:val="Heading4"/>
        <w:spacing w:after="293"/>
        <w:ind w:left="275"/>
      </w:pPr>
      <w:r>
        <w:t>Child criminal exploitation (CCE)</w:t>
      </w:r>
      <w:r>
        <w:rPr>
          <w:sz w:val="22"/>
          <w:vertAlign w:val="superscript"/>
        </w:rPr>
        <w:footnoteReference w:id="8"/>
      </w:r>
      <w:r>
        <w:rPr>
          <w:b w:val="0"/>
          <w:i/>
          <w:sz w:val="22"/>
        </w:rPr>
        <w:t xml:space="preserve"> </w:t>
      </w:r>
    </w:p>
    <w:p w14:paraId="2491F3D9" w14:textId="77777777" w:rsidR="00A932C3" w:rsidRDefault="00324E68">
      <w:pPr>
        <w:numPr>
          <w:ilvl w:val="0"/>
          <w:numId w:val="12"/>
        </w:numPr>
        <w:spacing w:after="310"/>
        <w:ind w:right="2207"/>
      </w:pPr>
      <w:r>
        <w:t>Some specific forms of CCE can include children being forced or manipulated into transporting drugs or money through county lines</w:t>
      </w:r>
      <w:r>
        <w:rPr>
          <w:vertAlign w:val="superscript"/>
        </w:rPr>
        <w:footnoteReference w:id="9"/>
      </w:r>
      <w:r>
        <w:t xml:space="preserve">, working in cannabis factories, shoplifting or pickpocketing. They can also be forced or manipulated into committing vehicle crime or threatening/committing serious violence to others. </w:t>
      </w:r>
    </w:p>
    <w:p w14:paraId="0E44945E" w14:textId="77777777" w:rsidR="00A932C3" w:rsidRDefault="00324E68">
      <w:pPr>
        <w:numPr>
          <w:ilvl w:val="0"/>
          <w:numId w:val="12"/>
        </w:numPr>
        <w:ind w:right="2207"/>
      </w:pPr>
      <w: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Children who are criminally exploited should have their vulnerabilities recognised by adults and professionals (particularly older children) and should be treated as victims. It is not possible for a child to cons</w:t>
      </w:r>
      <w:r>
        <w:t xml:space="preserve">ent to be exploited, abused or trafficked, and they may not recognise that it is happening to them. </w:t>
      </w:r>
    </w:p>
    <w:p w14:paraId="77FC8707"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645DC0F6" wp14:editId="7BC090AE">
                <wp:extent cx="1828800" cy="6858"/>
                <wp:effectExtent l="0" t="0" r="0" b="0"/>
                <wp:docPr id="47389" name="Group 47389"/>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59" name="Shape 57659"/>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389" style="width:144pt;height:0.540039pt;mso-position-horizontal-relative:char;mso-position-vertical-relative:line" coordsize="18288,68">
                <v:shape id="Shape 57660"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2DD5102E" w14:textId="77777777" w:rsidR="00A932C3" w:rsidRDefault="00324E68">
      <w:pPr>
        <w:numPr>
          <w:ilvl w:val="0"/>
          <w:numId w:val="12"/>
        </w:numPr>
        <w:spacing w:after="47"/>
        <w:ind w:right="2207"/>
      </w:pPr>
      <w: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61DA7945" w14:textId="77777777" w:rsidR="00A932C3" w:rsidRDefault="00324E68">
      <w:pPr>
        <w:spacing w:after="279" w:line="259" w:lineRule="auto"/>
        <w:ind w:left="291" w:firstLine="0"/>
      </w:pPr>
      <w:r>
        <w:t xml:space="preserve"> </w:t>
      </w:r>
    </w:p>
    <w:p w14:paraId="156B2DA0" w14:textId="77777777" w:rsidR="00A932C3" w:rsidRDefault="00324E68">
      <w:pPr>
        <w:pStyle w:val="Heading4"/>
        <w:ind w:left="275"/>
      </w:pPr>
      <w:r>
        <w:t xml:space="preserve">Child sexual exploitation (CSE) </w:t>
      </w:r>
    </w:p>
    <w:p w14:paraId="4BC219A2" w14:textId="77777777" w:rsidR="00A932C3" w:rsidRDefault="00324E68">
      <w:pPr>
        <w:numPr>
          <w:ilvl w:val="0"/>
          <w:numId w:val="13"/>
        </w:numPr>
        <w:spacing w:after="309"/>
        <w:ind w:right="2230"/>
      </w:pPr>
      <w:r>
        <w:t xml:space="preserve">CSE is a form of child sexual abuse. 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w:t>
      </w:r>
      <w:r>
        <w:t xml:space="preserve">in preparation for abuse including via the internet. </w:t>
      </w:r>
    </w:p>
    <w:p w14:paraId="705E32C4" w14:textId="77777777" w:rsidR="00A932C3" w:rsidRDefault="00324E68">
      <w:pPr>
        <w:numPr>
          <w:ilvl w:val="0"/>
          <w:numId w:val="13"/>
        </w:numPr>
        <w:spacing w:after="261" w:line="299" w:lineRule="auto"/>
        <w:ind w:right="2230"/>
      </w:pPr>
      <w:r>
        <w:t xml:space="preserve">CSE can occur over time or be a one-off occurrence and may happen without the child’s immediate knowledge, for example through others sharing videos or images of them on social media. </w:t>
      </w:r>
    </w:p>
    <w:p w14:paraId="68CE7E04" w14:textId="77777777" w:rsidR="00A932C3" w:rsidRDefault="00324E68">
      <w:pPr>
        <w:numPr>
          <w:ilvl w:val="0"/>
          <w:numId w:val="13"/>
        </w:numPr>
        <w:spacing w:after="46"/>
        <w:ind w:right="2230"/>
      </w:pPr>
      <w:r>
        <w:t>CSE can affect any child who has been coerced into engaging in sexual activities. This includes 16- and 17-year-olds who can legally consent to have sex. This can be committed by an individual or an organised network</w:t>
      </w:r>
      <w:r>
        <w:rPr>
          <w:vertAlign w:val="superscript"/>
        </w:rPr>
        <w:footnoteReference w:id="10"/>
      </w:r>
      <w:r>
        <w:t xml:space="preserve"> and most sexual 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 </w:t>
      </w:r>
    </w:p>
    <w:p w14:paraId="54C5402F" w14:textId="77777777" w:rsidR="00A932C3" w:rsidRDefault="00324E68">
      <w:pPr>
        <w:spacing w:after="1202" w:line="259" w:lineRule="auto"/>
        <w:ind w:left="291" w:firstLine="0"/>
      </w:pPr>
      <w:r>
        <w:t xml:space="preserve"> </w:t>
      </w:r>
    </w:p>
    <w:p w14:paraId="2E3C3805"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257B51F5" wp14:editId="0703E977">
                <wp:extent cx="1828800" cy="6858"/>
                <wp:effectExtent l="0" t="0" r="0" b="0"/>
                <wp:docPr id="46985" name="Group 46985"/>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61" name="Shape 57661"/>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985" style="width:144pt;height:0.539978pt;mso-position-horizontal-relative:char;mso-position-vertical-relative:line" coordsize="18288,68">
                <v:shape id="Shape 57662"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573DF5B3" w14:textId="77777777" w:rsidR="00A932C3" w:rsidRDefault="00324E68">
      <w:pPr>
        <w:pStyle w:val="Heading4"/>
        <w:ind w:left="275"/>
      </w:pPr>
      <w:r>
        <w:t xml:space="preserve">Domestic abuse </w:t>
      </w:r>
    </w:p>
    <w:p w14:paraId="7F07C4B7" w14:textId="77777777" w:rsidR="00A932C3" w:rsidRDefault="00324E68">
      <w:pPr>
        <w:spacing w:after="46"/>
        <w:ind w:left="290" w:right="2258"/>
      </w:pPr>
      <w:r>
        <w:t xml:space="preserve">45. </w:t>
      </w:r>
      <w:r>
        <w:tab/>
      </w:r>
      <w: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and ability to</w:t>
      </w:r>
      <w:r>
        <w:t xml:space="preserve"> learn. </w:t>
      </w:r>
    </w:p>
    <w:p w14:paraId="6812A7E0" w14:textId="77777777" w:rsidR="00A932C3" w:rsidRDefault="00324E68">
      <w:pPr>
        <w:spacing w:after="279" w:line="259" w:lineRule="auto"/>
        <w:ind w:left="291" w:firstLine="0"/>
      </w:pPr>
      <w:r>
        <w:t xml:space="preserve"> </w:t>
      </w:r>
    </w:p>
    <w:p w14:paraId="2EBF1EE8" w14:textId="77777777" w:rsidR="00A932C3" w:rsidRDefault="00324E68">
      <w:pPr>
        <w:pStyle w:val="Heading4"/>
        <w:ind w:left="275"/>
      </w:pPr>
      <w:r>
        <w:t xml:space="preserve">Female genital mutilation (FGM) </w:t>
      </w:r>
    </w:p>
    <w:p w14:paraId="75117EA6" w14:textId="77777777" w:rsidR="00A932C3" w:rsidRDefault="00324E68">
      <w:pPr>
        <w:spacing w:after="47"/>
        <w:ind w:left="290" w:right="2225"/>
      </w:pPr>
      <w:r>
        <w:t xml:space="preserve">46. </w:t>
      </w:r>
      <w:r>
        <w:tab/>
        <w:t>Whilst all staff should speak to the designated safeguarding lead (or a deputy) with regard to any concerns about female genital mutilation (FGM), there is a specific legal duty on teachers.</w:t>
      </w:r>
      <w:r>
        <w:rPr>
          <w:vertAlign w:val="superscript"/>
        </w:rPr>
        <w:footnoteReference w:id="11"/>
      </w:r>
      <w:r>
        <w:t xml:space="preserve"> If a teacher, in the course of their work in the profession, discovers that an act of FGM appears to have been carried out on a girl under the age of 18, the teacher must report this to the police. See page 176 of KCSIE for further information. </w:t>
      </w:r>
    </w:p>
    <w:p w14:paraId="3B349460" w14:textId="77777777" w:rsidR="00A932C3" w:rsidRDefault="00324E68">
      <w:pPr>
        <w:spacing w:after="278" w:line="259" w:lineRule="auto"/>
        <w:ind w:left="291" w:firstLine="0"/>
      </w:pPr>
      <w:r>
        <w:t xml:space="preserve"> </w:t>
      </w:r>
    </w:p>
    <w:p w14:paraId="6B2CFA45" w14:textId="77777777" w:rsidR="00A932C3" w:rsidRDefault="00324E68">
      <w:pPr>
        <w:pStyle w:val="Heading4"/>
        <w:ind w:left="275"/>
      </w:pPr>
      <w:r>
        <w:t xml:space="preserve">Mental health </w:t>
      </w:r>
    </w:p>
    <w:p w14:paraId="378A0946" w14:textId="77777777" w:rsidR="00A932C3" w:rsidRDefault="00324E68">
      <w:pPr>
        <w:numPr>
          <w:ilvl w:val="0"/>
          <w:numId w:val="14"/>
        </w:numPr>
        <w:spacing w:after="310"/>
        <w:ind w:right="2151"/>
      </w:pPr>
      <w:r>
        <w:t xml:space="preserve">All staff should be aware that mental health problems can, in some cases, develop into safeguarding concerns. This could include self-harm, suicidal ideation or risk of suicide. They could also be an indicator that a child has suffered or is at risk of suffering abuse, neglect or exploitation. </w:t>
      </w:r>
    </w:p>
    <w:p w14:paraId="4592A4F6" w14:textId="77777777" w:rsidR="00A932C3" w:rsidRDefault="00324E68">
      <w:pPr>
        <w:numPr>
          <w:ilvl w:val="0"/>
          <w:numId w:val="14"/>
        </w:numPr>
        <w:spacing w:after="107"/>
        <w:ind w:right="2151"/>
      </w:pPr>
      <w: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If a child is struggling with their mental health, selfharming, has an eating disorder or is experiencing suicidal ideation and making plans to end their life, there are likely to be potential warning sig</w:t>
      </w:r>
      <w:r>
        <w:t xml:space="preserve">ns which education staff are well placed to recognise. </w:t>
      </w:r>
    </w:p>
    <w:p w14:paraId="25CF45BD" w14:textId="77777777" w:rsidR="00A932C3" w:rsidRDefault="00324E68">
      <w:pPr>
        <w:spacing w:after="561" w:line="259" w:lineRule="auto"/>
        <w:ind w:left="1" w:firstLine="0"/>
      </w:pPr>
      <w:r>
        <w:t xml:space="preserve"> </w:t>
      </w:r>
    </w:p>
    <w:p w14:paraId="1BB32B5E"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3C203C51" wp14:editId="3BB6D135">
                <wp:extent cx="1828800" cy="6858"/>
                <wp:effectExtent l="0" t="0" r="0" b="0"/>
                <wp:docPr id="46500" name="Group 46500"/>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63" name="Shape 57663"/>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500" style="width:144pt;height:0.539978pt;mso-position-horizontal-relative:char;mso-position-vertical-relative:line" coordsize="18288,68">
                <v:shape id="Shape 57664"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43938878" w14:textId="77777777" w:rsidR="00A932C3" w:rsidRDefault="00324E68">
      <w:pPr>
        <w:spacing w:after="223"/>
        <w:ind w:left="303" w:right="10"/>
      </w:pPr>
      <w:r>
        <w:t xml:space="preserve">These could include: </w:t>
      </w:r>
    </w:p>
    <w:p w14:paraId="0DE73CD6" w14:textId="77777777" w:rsidR="00A932C3" w:rsidRDefault="00324E68">
      <w:pPr>
        <w:numPr>
          <w:ilvl w:val="1"/>
          <w:numId w:val="14"/>
        </w:numPr>
        <w:ind w:right="10" w:hanging="360"/>
      </w:pPr>
      <w:r>
        <w:t>significant changes in behaviour,</w:t>
      </w:r>
      <w:r>
        <w:rPr>
          <w:rFonts w:ascii="Segoe UI Symbol" w:eastAsia="Segoe UI Symbol" w:hAnsi="Segoe UI Symbol" w:cs="Segoe UI Symbol"/>
        </w:rPr>
        <w:t xml:space="preserve"> </w:t>
      </w:r>
    </w:p>
    <w:p w14:paraId="7B159E07" w14:textId="77777777" w:rsidR="00A932C3" w:rsidRDefault="00324E68">
      <w:pPr>
        <w:numPr>
          <w:ilvl w:val="1"/>
          <w:numId w:val="14"/>
        </w:numPr>
        <w:ind w:right="10" w:hanging="360"/>
      </w:pPr>
      <w:r>
        <w:t>ongoing difficulty sleeping,</w:t>
      </w:r>
      <w:r>
        <w:rPr>
          <w:rFonts w:ascii="Segoe UI Symbol" w:eastAsia="Segoe UI Symbol" w:hAnsi="Segoe UI Symbol" w:cs="Segoe UI Symbol"/>
        </w:rPr>
        <w:t xml:space="preserve"> </w:t>
      </w:r>
    </w:p>
    <w:p w14:paraId="075C6CE8" w14:textId="77777777" w:rsidR="00A932C3" w:rsidRDefault="00324E68">
      <w:pPr>
        <w:numPr>
          <w:ilvl w:val="1"/>
          <w:numId w:val="14"/>
        </w:numPr>
        <w:ind w:right="10" w:hanging="360"/>
      </w:pPr>
      <w:r>
        <w:t>withdrawing from social situations,</w:t>
      </w:r>
      <w:r>
        <w:rPr>
          <w:rFonts w:ascii="Segoe UI Symbol" w:eastAsia="Segoe UI Symbol" w:hAnsi="Segoe UI Symbol" w:cs="Segoe UI Symbol"/>
        </w:rPr>
        <w:t xml:space="preserve"> </w:t>
      </w:r>
    </w:p>
    <w:p w14:paraId="7FCAA538" w14:textId="77777777" w:rsidR="00A932C3" w:rsidRDefault="00324E68">
      <w:pPr>
        <w:numPr>
          <w:ilvl w:val="1"/>
          <w:numId w:val="14"/>
        </w:numPr>
        <w:ind w:right="10" w:hanging="360"/>
      </w:pPr>
      <w:r>
        <w:t>not wanting to do things they usually like, and</w:t>
      </w:r>
      <w:r>
        <w:rPr>
          <w:rFonts w:ascii="Segoe UI Symbol" w:eastAsia="Segoe UI Symbol" w:hAnsi="Segoe UI Symbol" w:cs="Segoe UI Symbol"/>
        </w:rPr>
        <w:t xml:space="preserve"> </w:t>
      </w:r>
    </w:p>
    <w:p w14:paraId="1C31443D" w14:textId="77777777" w:rsidR="00A932C3" w:rsidRDefault="00324E68">
      <w:pPr>
        <w:numPr>
          <w:ilvl w:val="1"/>
          <w:numId w:val="14"/>
        </w:numPr>
        <w:spacing w:after="126"/>
        <w:ind w:right="10" w:hanging="360"/>
      </w:pPr>
      <w:r>
        <w:t>physical signs of self-harm or neglecting themselves.</w:t>
      </w:r>
      <w:r>
        <w:rPr>
          <w:rFonts w:ascii="Segoe UI Symbol" w:eastAsia="Segoe UI Symbol" w:hAnsi="Segoe UI Symbol" w:cs="Segoe UI Symbol"/>
        </w:rPr>
        <w:t xml:space="preserve"> </w:t>
      </w:r>
    </w:p>
    <w:p w14:paraId="2913AB68" w14:textId="77777777" w:rsidR="00A932C3" w:rsidRDefault="00324E68">
      <w:pPr>
        <w:spacing w:after="264" w:line="259" w:lineRule="auto"/>
        <w:ind w:left="1" w:firstLine="0"/>
      </w:pPr>
      <w:r>
        <w:t xml:space="preserve"> </w:t>
      </w:r>
    </w:p>
    <w:p w14:paraId="72A3870D" w14:textId="77777777" w:rsidR="00A932C3" w:rsidRDefault="00324E68">
      <w:pPr>
        <w:numPr>
          <w:ilvl w:val="0"/>
          <w:numId w:val="14"/>
        </w:numPr>
        <w:spacing w:after="310"/>
        <w:ind w:right="2151"/>
      </w:pPr>
      <w:r>
        <w:t xml:space="preserve">Not every child who exhibits these behaviours is suicidal or has a mental health concern. However, by identifying these and other potential warning signs, education staff can identify children who may be struggling with their mental health and contemplating suicide and offer support and vital early intervention. Schools and colleges should ensure that any interventions they offer are evidenced as safe and effective and appropriate for the need and phase of education. </w:t>
      </w:r>
    </w:p>
    <w:p w14:paraId="0680E880" w14:textId="77777777" w:rsidR="00A932C3" w:rsidRDefault="00324E68">
      <w:pPr>
        <w:numPr>
          <w:ilvl w:val="0"/>
          <w:numId w:val="14"/>
        </w:numPr>
        <w:spacing w:after="46"/>
        <w:ind w:right="2151"/>
      </w:pPr>
      <w:r>
        <w:t xml:space="preserve">If staff have a concern about a child’s mental health that is also a safeguarding concern, they should follow their child protection policy and speak to their designated safeguarding lead or deputy. If staff feel that a child is in danger, they should call 999 or arrange for them to be taken to A&amp;E immediately by a parent/carer or other suitable person. If a child needs help urgently for their mental health, but it's not an emergency, staff can get help from NHS 111 online or call 111 and select the mental </w:t>
      </w:r>
      <w:r>
        <w:t xml:space="preserve">health option. </w:t>
      </w:r>
    </w:p>
    <w:p w14:paraId="1A6423D6" w14:textId="77777777" w:rsidR="00A932C3" w:rsidRDefault="00324E68">
      <w:pPr>
        <w:spacing w:after="279" w:line="259" w:lineRule="auto"/>
        <w:ind w:left="291" w:firstLine="0"/>
      </w:pPr>
      <w:r>
        <w:t xml:space="preserve"> </w:t>
      </w:r>
    </w:p>
    <w:p w14:paraId="0EBF781A" w14:textId="77777777" w:rsidR="00A932C3" w:rsidRDefault="00324E68">
      <w:pPr>
        <w:pStyle w:val="Heading4"/>
        <w:ind w:left="275"/>
      </w:pPr>
      <w:r>
        <w:t xml:space="preserve">Serious violence </w:t>
      </w:r>
    </w:p>
    <w:p w14:paraId="626F2920" w14:textId="77777777" w:rsidR="00A932C3" w:rsidRDefault="00324E68">
      <w:pPr>
        <w:numPr>
          <w:ilvl w:val="0"/>
          <w:numId w:val="15"/>
        </w:numPr>
        <w:spacing w:after="310"/>
        <w:ind w:right="2016"/>
      </w:pPr>
      <w:r>
        <w:t>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The designated safeguarding lead should assess the risk to both the individual pupil and others in the school, c</w:t>
      </w:r>
      <w:r>
        <w:t xml:space="preserve">onsidering wider information or concerns, and take appropriate action. Depending on the risk, they should put in place a safety and support plan, and where relevant, consider action to de-escalate peer conflict. </w:t>
      </w:r>
    </w:p>
    <w:p w14:paraId="5D89ACDB" w14:textId="77777777" w:rsidR="00A932C3" w:rsidRDefault="00324E68">
      <w:pPr>
        <w:numPr>
          <w:ilvl w:val="0"/>
          <w:numId w:val="15"/>
        </w:numPr>
        <w:spacing w:after="264" w:line="302" w:lineRule="auto"/>
        <w:ind w:right="2016"/>
      </w:pPr>
      <w:r>
        <w:t>Schools play a key role in protecting children from violence, safeguarding victims, as well as those who may be at risk of, or are involved in committing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Schools should also try to be alert to when children mig</w:t>
      </w:r>
      <w:r>
        <w:t xml:space="preserve">ht be at highest risk around the school day (for example, immediately after school). Further information on indicators, risk factors, and protective actions relating to serious violence is provided in the Annex. </w:t>
      </w:r>
    </w:p>
    <w:p w14:paraId="05B92D8C" w14:textId="77777777" w:rsidR="00A932C3" w:rsidRDefault="00324E68">
      <w:pPr>
        <w:numPr>
          <w:ilvl w:val="0"/>
          <w:numId w:val="15"/>
        </w:numPr>
        <w:spacing w:after="310"/>
        <w:ind w:right="2016"/>
      </w:pPr>
      <w:r>
        <w:t xml:space="preserve">Early, evidence-based support for those considered at risk, as well as at critical points when concerns emerge, is vital. This includes access to trusted adults, social and emotional skill support, and, where available, targeted interventions such as mentoring or therapeutic support (practical guidance on evidenced support is available from the </w:t>
      </w:r>
      <w:hyperlink r:id="rId23">
        <w:r>
          <w:rPr>
            <w:color w:val="0000FF"/>
            <w:u w:val="single" w:color="0000FF"/>
          </w:rPr>
          <w:t>Youth Endowment</w:t>
        </w:r>
      </w:hyperlink>
      <w:hyperlink r:id="rId24">
        <w:r>
          <w:rPr>
            <w:color w:val="0000FF"/>
          </w:rPr>
          <w:t xml:space="preserve"> </w:t>
        </w:r>
      </w:hyperlink>
      <w:hyperlink r:id="rId25">
        <w:r>
          <w:rPr>
            <w:color w:val="0000FF"/>
            <w:u w:val="single" w:color="0000FF"/>
          </w:rPr>
          <w:t>Fund (YEF)</w:t>
        </w:r>
      </w:hyperlink>
      <w:hyperlink r:id="rId26">
        <w:r>
          <w:rPr>
            <w:color w:val="0000FF"/>
          </w:rPr>
          <w:t xml:space="preserve"> </w:t>
        </w:r>
      </w:hyperlink>
      <w:r>
        <w:t xml:space="preserve">(the “what works” centre for preventing violence). </w:t>
      </w:r>
    </w:p>
    <w:p w14:paraId="2C14FB20" w14:textId="77777777" w:rsidR="00A932C3" w:rsidRDefault="00324E68">
      <w:pPr>
        <w:numPr>
          <w:ilvl w:val="0"/>
          <w:numId w:val="15"/>
        </w:numPr>
        <w:spacing w:after="229" w:line="302" w:lineRule="auto"/>
        <w:ind w:right="2016"/>
      </w:pPr>
      <w:r>
        <w:t xml:space="preserve">Designated safeguarding leads can find further guidance on referrals and when to contact the police in Annex B of KCSIE (Manage Referrals). </w:t>
      </w:r>
    </w:p>
    <w:p w14:paraId="3BF2B4FF" w14:textId="77777777" w:rsidR="00A932C3" w:rsidRDefault="00324E68">
      <w:pPr>
        <w:pStyle w:val="Heading4"/>
        <w:ind w:left="275"/>
      </w:pPr>
      <w:r>
        <w:t xml:space="preserve">Additional information and support </w:t>
      </w:r>
    </w:p>
    <w:p w14:paraId="69166138" w14:textId="77777777" w:rsidR="00A932C3" w:rsidRDefault="00324E68">
      <w:pPr>
        <w:numPr>
          <w:ilvl w:val="0"/>
          <w:numId w:val="16"/>
        </w:numPr>
        <w:spacing w:after="309"/>
        <w:ind w:right="2067"/>
      </w:pPr>
      <w:r>
        <w:t xml:space="preserve">Departmental advice </w:t>
      </w:r>
      <w:hyperlink r:id="rId27">
        <w:r>
          <w:rPr>
            <w:color w:val="0000FF"/>
            <w:u w:val="single" w:color="0000FF"/>
          </w:rPr>
          <w:t>What to do if you're worried a child is being</w:t>
        </w:r>
      </w:hyperlink>
      <w:hyperlink r:id="rId28">
        <w:r>
          <w:rPr>
            <w:color w:val="0000FF"/>
          </w:rPr>
          <w:t xml:space="preserve"> </w:t>
        </w:r>
      </w:hyperlink>
      <w:hyperlink r:id="rId29">
        <w:r>
          <w:rPr>
            <w:color w:val="0000FF"/>
            <w:u w:val="single" w:color="0000FF"/>
          </w:rPr>
          <w:t>abused:</w:t>
        </w:r>
      </w:hyperlink>
      <w:hyperlink r:id="rId30">
        <w:r>
          <w:rPr>
            <w:color w:val="0000FF"/>
          </w:rPr>
          <w:t xml:space="preserve"> </w:t>
        </w:r>
      </w:hyperlink>
      <w:hyperlink r:id="rId31">
        <w:r>
          <w:rPr>
            <w:color w:val="0000FF"/>
            <w:u w:val="single" w:color="0000FF"/>
          </w:rPr>
          <w:t>advice for practitioners</w:t>
        </w:r>
      </w:hyperlink>
      <w:hyperlink r:id="rId32">
        <w:r>
          <w:rPr>
            <w:color w:val="0000FF"/>
          </w:rPr>
          <w:t xml:space="preserve"> </w:t>
        </w:r>
      </w:hyperlink>
      <w:r>
        <w:t xml:space="preserve">provides more information on understanding and identifying abuse and neglect. Examples of potential indicators of abuse and neglect are highlighted throughout that advice and will be particularly helpful for school and college staff. The </w:t>
      </w:r>
      <w:hyperlink r:id="rId33">
        <w:r>
          <w:rPr>
            <w:color w:val="0000FF"/>
            <w:u w:val="single" w:color="0000FF"/>
          </w:rPr>
          <w:t>NSPCC</w:t>
        </w:r>
      </w:hyperlink>
      <w:hyperlink r:id="rId34">
        <w:r>
          <w:rPr>
            <w:color w:val="0000FF"/>
          </w:rPr>
          <w:t xml:space="preserve"> </w:t>
        </w:r>
      </w:hyperlink>
      <w:r>
        <w:t xml:space="preserve">website also provides useful additional information on abuse and neglect and what to look out for. </w:t>
      </w:r>
    </w:p>
    <w:p w14:paraId="1A9C7F3B" w14:textId="77777777" w:rsidR="00A932C3" w:rsidRDefault="00324E68">
      <w:pPr>
        <w:numPr>
          <w:ilvl w:val="0"/>
          <w:numId w:val="16"/>
        </w:numPr>
        <w:spacing w:after="239" w:line="289" w:lineRule="auto"/>
        <w:ind w:right="2067"/>
      </w:pPr>
      <w:r>
        <w:rPr>
          <w:b/>
        </w:rPr>
        <w:t>The Annex contains important additional information about specific forms of abuse, exploitation, and safeguarding issues. School and college leaders and those staff who work directly with children should read the Annex.</w:t>
      </w:r>
      <w:r>
        <w:t xml:space="preserve"> </w:t>
      </w:r>
    </w:p>
    <w:p w14:paraId="00C9C4C4" w14:textId="77777777" w:rsidR="00A932C3" w:rsidRDefault="00324E68">
      <w:pPr>
        <w:spacing w:after="160" w:line="259" w:lineRule="auto"/>
        <w:ind w:left="1" w:firstLine="0"/>
      </w:pPr>
      <w:r>
        <w:rPr>
          <w:b/>
          <w:color w:val="104F75"/>
          <w:sz w:val="32"/>
        </w:rPr>
        <w:t xml:space="preserve"> </w:t>
      </w:r>
    </w:p>
    <w:p w14:paraId="578E4DDF" w14:textId="77777777" w:rsidR="00A932C3" w:rsidRDefault="00324E68">
      <w:pPr>
        <w:pStyle w:val="Heading2"/>
        <w:spacing w:after="190"/>
        <w:ind w:left="275"/>
      </w:pPr>
      <w:r>
        <w:rPr>
          <w:color w:val="104F75"/>
          <w:sz w:val="32"/>
        </w:rPr>
        <w:t xml:space="preserve">What school and college staff should do if they have concerns about a child </w:t>
      </w:r>
    </w:p>
    <w:p w14:paraId="094E4679" w14:textId="77777777" w:rsidR="00A932C3" w:rsidRDefault="00324E68">
      <w:pPr>
        <w:numPr>
          <w:ilvl w:val="0"/>
          <w:numId w:val="17"/>
        </w:numPr>
        <w:ind w:right="2252" w:hanging="721"/>
      </w:pPr>
      <w:r>
        <w:t>Staff working with children are advised to maintain an attitude of ‘</w:t>
      </w:r>
      <w:r>
        <w:rPr>
          <w:b/>
        </w:rPr>
        <w:t>it could happen here</w:t>
      </w:r>
      <w:r>
        <w:t xml:space="preserve">’ where safeguarding is concerned. When concerned about the welfare of a child, staff should always act in the </w:t>
      </w:r>
      <w:r>
        <w:rPr>
          <w:b/>
        </w:rPr>
        <w:t xml:space="preserve">best interests </w:t>
      </w:r>
      <w:r>
        <w:t xml:space="preserve">of the child. </w:t>
      </w:r>
    </w:p>
    <w:p w14:paraId="1AF24276" w14:textId="77777777" w:rsidR="00A932C3" w:rsidRDefault="00324E68">
      <w:pPr>
        <w:numPr>
          <w:ilvl w:val="0"/>
          <w:numId w:val="17"/>
        </w:numPr>
        <w:spacing w:after="240" w:line="298" w:lineRule="auto"/>
        <w:ind w:right="2252" w:hanging="721"/>
      </w:pPr>
      <w:r>
        <w:t xml:space="preserve">If staff have </w:t>
      </w:r>
      <w:r>
        <w:rPr>
          <w:b/>
        </w:rPr>
        <w:t xml:space="preserve">any concerns </w:t>
      </w:r>
      <w:r>
        <w:t xml:space="preserve">about a child’s welfare, they should act on them </w:t>
      </w:r>
      <w:r>
        <w:rPr>
          <w:b/>
        </w:rPr>
        <w:t>immediately</w:t>
      </w:r>
      <w:r>
        <w:t xml:space="preserve">. See page 25 for a flowchart setting out the process for staff when they have concerns about a child. </w:t>
      </w:r>
    </w:p>
    <w:p w14:paraId="5AEC6CAD" w14:textId="77777777" w:rsidR="00A932C3" w:rsidRDefault="00324E68">
      <w:pPr>
        <w:numPr>
          <w:ilvl w:val="0"/>
          <w:numId w:val="17"/>
        </w:numPr>
        <w:spacing w:after="274" w:line="285" w:lineRule="auto"/>
        <w:ind w:right="2252" w:hanging="721"/>
      </w:pPr>
      <w:r>
        <w:t xml:space="preserve">If staff have a concern, they should follow their own organisation’s child protection policy and speak to the designated safeguarding lead (or a deputy). </w:t>
      </w:r>
    </w:p>
    <w:p w14:paraId="3B121173" w14:textId="77777777" w:rsidR="00A932C3" w:rsidRDefault="00324E68">
      <w:pPr>
        <w:numPr>
          <w:ilvl w:val="0"/>
          <w:numId w:val="17"/>
        </w:numPr>
        <w:ind w:right="2252" w:hanging="721"/>
      </w:pPr>
      <w:r>
        <w:t xml:space="preserve">Options will then include: </w:t>
      </w:r>
    </w:p>
    <w:p w14:paraId="3F343222" w14:textId="77777777" w:rsidR="00A932C3" w:rsidRDefault="00324E68">
      <w:pPr>
        <w:numPr>
          <w:ilvl w:val="1"/>
          <w:numId w:val="17"/>
        </w:numPr>
        <w:spacing w:after="107" w:line="285" w:lineRule="auto"/>
        <w:ind w:right="625" w:hanging="360"/>
      </w:pPr>
      <w:r>
        <w:t>managing any support for the child internally via the school or college’s own pastoral support processes, including considering where doing so does not place the child at additional risk, whether the designated safeguarding lead (or a deputy) should inform parents or carers to further support the child’s wellbeing,</w:t>
      </w:r>
      <w:r>
        <w:rPr>
          <w:rFonts w:ascii="Segoe UI Symbol" w:eastAsia="Segoe UI Symbol" w:hAnsi="Segoe UI Symbol" w:cs="Segoe UI Symbol"/>
        </w:rPr>
        <w:t xml:space="preserve"> </w:t>
      </w:r>
    </w:p>
    <w:p w14:paraId="50741585" w14:textId="77777777" w:rsidR="00A932C3" w:rsidRDefault="00324E68">
      <w:pPr>
        <w:numPr>
          <w:ilvl w:val="1"/>
          <w:numId w:val="17"/>
        </w:numPr>
        <w:ind w:right="625" w:hanging="360"/>
      </w:pPr>
      <w:r>
        <w:t>undertaking a Family Help assessment,</w:t>
      </w:r>
      <w:r>
        <w:rPr>
          <w:vertAlign w:val="superscript"/>
        </w:rPr>
        <w:footnoteReference w:id="12"/>
      </w:r>
      <w:r>
        <w:rPr>
          <w:sz w:val="22"/>
          <w:vertAlign w:val="superscript"/>
        </w:rPr>
        <w:t xml:space="preserve"> </w:t>
      </w:r>
      <w:r>
        <w:t>or</w:t>
      </w:r>
      <w:r>
        <w:rPr>
          <w:rFonts w:ascii="Segoe UI Symbol" w:eastAsia="Segoe UI Symbol" w:hAnsi="Segoe UI Symbol" w:cs="Segoe UI Symbol"/>
        </w:rPr>
        <w:t xml:space="preserve"> </w:t>
      </w:r>
    </w:p>
    <w:p w14:paraId="106A80FC" w14:textId="77777777" w:rsidR="00A932C3" w:rsidRDefault="00324E68">
      <w:pPr>
        <w:numPr>
          <w:ilvl w:val="1"/>
          <w:numId w:val="17"/>
        </w:numPr>
        <w:spacing w:after="231"/>
        <w:ind w:right="625" w:hanging="360"/>
      </w:pPr>
      <w:r>
        <w:t>making a referral to statutory services,</w:t>
      </w:r>
      <w:r>
        <w:rPr>
          <w:vertAlign w:val="superscript"/>
        </w:rPr>
        <w:footnoteReference w:id="13"/>
      </w:r>
      <w:r>
        <w:rPr>
          <w:vertAlign w:val="superscript"/>
        </w:rPr>
        <w:t xml:space="preserve"> </w:t>
      </w:r>
      <w:r>
        <w:t>for example as the child could be in need, is in need or is suffering, or likely to suffer harm.</w:t>
      </w:r>
      <w:r>
        <w:rPr>
          <w:rFonts w:ascii="Segoe UI Symbol" w:eastAsia="Segoe UI Symbol" w:hAnsi="Segoe UI Symbol" w:cs="Segoe UI Symbol"/>
        </w:rPr>
        <w:t xml:space="preserve"> </w:t>
      </w:r>
    </w:p>
    <w:p w14:paraId="60E30C13" w14:textId="77777777" w:rsidR="00A932C3" w:rsidRDefault="00324E68">
      <w:pPr>
        <w:numPr>
          <w:ilvl w:val="0"/>
          <w:numId w:val="17"/>
        </w:numPr>
        <w:spacing w:after="310"/>
        <w:ind w:right="2252" w:hanging="721"/>
      </w:pPr>
      <w:r>
        <w:t>The designated safeguarding lead (or a deputy) should always be available to discuss safeguarding concerns. If in exceptional circumstances, the designated safeguarding lead (or a deputy) is not available, this should not delay appropriate action being taken. Staff should consider speaking to a member of the senior leadership team and/or take advice from local authority children’s social care. In these circumstances, any action taken should be shared with the designated safeguarding lead (or a deputy) as so</w:t>
      </w:r>
      <w:r>
        <w:t xml:space="preserve">on as is practically possible. </w:t>
      </w:r>
    </w:p>
    <w:p w14:paraId="01532E84" w14:textId="77777777" w:rsidR="00A932C3" w:rsidRDefault="00324E68">
      <w:pPr>
        <w:numPr>
          <w:ilvl w:val="0"/>
          <w:numId w:val="17"/>
        </w:numPr>
        <w:spacing w:after="46"/>
        <w:ind w:right="2252" w:hanging="721"/>
      </w:pPr>
      <w:r>
        <w:t xml:space="preserve">Staff should not assume a colleague or another professional will take action and share information that might be critical in keeping children safe. They should be mindful that early information sharing is vital for the effective identification, assessment, and allocation of appropriate service provision, whether this is when problems first emerge, or where a child is already known to local authority children’s social care (such as a child in need or a child with a protection plan). </w:t>
      </w:r>
      <w:hyperlink r:id="rId35">
        <w:r>
          <w:rPr>
            <w:color w:val="0000FF"/>
            <w:u w:val="single" w:color="0000FF"/>
          </w:rPr>
          <w:t>Information sharing: advice for</w:t>
        </w:r>
      </w:hyperlink>
      <w:hyperlink r:id="rId36">
        <w:r>
          <w:rPr>
            <w:color w:val="0000FF"/>
          </w:rPr>
          <w:t xml:space="preserve"> </w:t>
        </w:r>
      </w:hyperlink>
      <w:hyperlink r:id="rId37">
        <w:r>
          <w:rPr>
            <w:color w:val="0000FF"/>
            <w:u w:val="single" w:color="0000FF"/>
          </w:rPr>
          <w:t>practitioners providing safeguarding services to</w:t>
        </w:r>
      </w:hyperlink>
      <w:hyperlink r:id="rId38">
        <w:r>
          <w:rPr>
            <w:color w:val="0000FF"/>
          </w:rPr>
          <w:t xml:space="preserve"> </w:t>
        </w:r>
      </w:hyperlink>
      <w:hyperlink r:id="rId39">
        <w:r>
          <w:rPr>
            <w:color w:val="0000FF"/>
            <w:u w:val="single" w:color="0000FF"/>
          </w:rPr>
          <w:t>children, young people,</w:t>
        </w:r>
      </w:hyperlink>
      <w:hyperlink r:id="rId40">
        <w:r>
          <w:rPr>
            <w:color w:val="0000FF"/>
          </w:rPr>
          <w:t xml:space="preserve"> </w:t>
        </w:r>
      </w:hyperlink>
    </w:p>
    <w:p w14:paraId="6F2C29DC"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6F84B9AA" wp14:editId="51D39FAD">
                <wp:extent cx="1828800" cy="6858"/>
                <wp:effectExtent l="0" t="0" r="0" b="0"/>
                <wp:docPr id="47188" name="Group 47188"/>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67" name="Shape 57667"/>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188" style="width:144pt;height:0.540039pt;mso-position-horizontal-relative:char;mso-position-vertical-relative:line" coordsize="18288,68">
                <v:shape id="Shape 57668"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0C4EC7B3" w14:textId="77777777" w:rsidR="00A932C3" w:rsidRDefault="00324E68">
      <w:pPr>
        <w:spacing w:after="309"/>
        <w:ind w:left="301" w:right="2230"/>
      </w:pPr>
      <w:hyperlink r:id="rId41">
        <w:r>
          <w:rPr>
            <w:color w:val="0000FF"/>
            <w:u w:val="single" w:color="0000FF"/>
          </w:rPr>
          <w:t>parents and carers</w:t>
        </w:r>
      </w:hyperlink>
      <w:hyperlink r:id="rId42">
        <w:r>
          <w:rPr>
            <w:color w:val="0000FF"/>
          </w:rPr>
          <w:t xml:space="preserve"> </w:t>
        </w:r>
      </w:hyperlink>
      <w:r>
        <w:t xml:space="preserve">supports staff who have to make decisions about sharing information.  </w:t>
      </w:r>
    </w:p>
    <w:p w14:paraId="454FD6E6" w14:textId="77777777" w:rsidR="00A932C3" w:rsidRDefault="00324E68">
      <w:pPr>
        <w:numPr>
          <w:ilvl w:val="0"/>
          <w:numId w:val="17"/>
        </w:numPr>
        <w:spacing w:after="126"/>
        <w:ind w:right="2252" w:hanging="721"/>
      </w:pPr>
      <w:r>
        <w:rPr>
          <w:b/>
        </w:rPr>
        <w:t xml:space="preserve">Data protection laws do not prevent the sharing of information for the purposes of keeping children safe and promoting their welfare. </w:t>
      </w:r>
      <w:r>
        <w:t xml:space="preserve">If in any doubt about sharing information, staff should speak to the designated safeguarding lead (or a deputy). Fears about sharing information </w:t>
      </w:r>
      <w:r>
        <w:rPr>
          <w:b/>
        </w:rPr>
        <w:t xml:space="preserve">must not </w:t>
      </w:r>
      <w:r>
        <w:t xml:space="preserve">be allowed to stand in the way of the need to safeguard and promote the welfare of children. </w:t>
      </w:r>
    </w:p>
    <w:p w14:paraId="22F40A3A" w14:textId="77777777" w:rsidR="00A932C3" w:rsidRDefault="00324E68">
      <w:pPr>
        <w:spacing w:after="196" w:line="259" w:lineRule="auto"/>
        <w:ind w:left="1" w:firstLine="0"/>
      </w:pPr>
      <w:r>
        <w:t xml:space="preserve"> </w:t>
      </w:r>
    </w:p>
    <w:p w14:paraId="0739104A" w14:textId="77777777" w:rsidR="00A932C3" w:rsidRDefault="00324E68">
      <w:pPr>
        <w:pStyle w:val="Heading3"/>
        <w:spacing w:after="229"/>
        <w:ind w:left="275"/>
      </w:pPr>
      <w:r>
        <w:rPr>
          <w:color w:val="104F75"/>
          <w:sz w:val="28"/>
        </w:rPr>
        <w:t>Community-based Early Help assessment</w:t>
      </w:r>
      <w:r>
        <w:rPr>
          <w:sz w:val="28"/>
        </w:rPr>
        <w:t xml:space="preserve"> </w:t>
      </w:r>
    </w:p>
    <w:p w14:paraId="3332A9B8" w14:textId="77777777" w:rsidR="00A932C3" w:rsidRDefault="00324E68">
      <w:pPr>
        <w:spacing w:after="244"/>
        <w:ind w:left="290" w:right="2231"/>
      </w:pPr>
      <w:r>
        <w:t xml:space="preserve">64. </w:t>
      </w:r>
      <w:r>
        <w:tab/>
        <w:t xml:space="preserve">If children do not require the support of statutory children’s services, the designated safeguarding lead (or a deputy) will generally lead the liaison with other agencies and setting up an inter-agency assessment as appropriate. Staff may be required to support other agencies and professionals in carrying out this assessment, in some cases acting as the lead practitioner. Further guidance on effective assessment of the need for Family Help can be found in </w:t>
      </w:r>
      <w:hyperlink r:id="rId43">
        <w:r>
          <w:rPr>
            <w:color w:val="0000FF"/>
            <w:u w:val="single" w:color="0000FF"/>
          </w:rPr>
          <w:t>Working Together</w:t>
        </w:r>
      </w:hyperlink>
      <w:hyperlink r:id="rId44">
        <w:r>
          <w:rPr>
            <w:color w:val="0000FF"/>
          </w:rPr>
          <w:t xml:space="preserve"> </w:t>
        </w:r>
      </w:hyperlink>
      <w:hyperlink r:id="rId45">
        <w:r>
          <w:rPr>
            <w:color w:val="0000FF"/>
            <w:u w:val="single" w:color="0000FF"/>
          </w:rPr>
          <w:t>to Safeguard Children</w:t>
        </w:r>
      </w:hyperlink>
      <w:hyperlink r:id="rId46">
        <w:r>
          <w:t>.</w:t>
        </w:r>
      </w:hyperlink>
      <w:r>
        <w:t xml:space="preserve"> Any such cases should be kept under constant review and consideration given to a referral to local authority children’s social care for assessment for statutory services if the child’s situation does not appear to be improving or is getting worse. Alternatively, qualified lead practitioners (i.e. not a social worker) who may lead assessments before statutory intervention can continue to lead work with families up to and including section 17. </w:t>
      </w:r>
    </w:p>
    <w:p w14:paraId="39A5D295" w14:textId="77777777" w:rsidR="00A932C3" w:rsidRDefault="00324E68">
      <w:pPr>
        <w:pStyle w:val="Heading3"/>
        <w:spacing w:after="229"/>
        <w:ind w:left="275"/>
      </w:pPr>
      <w:r>
        <w:rPr>
          <w:color w:val="104F75"/>
          <w:sz w:val="28"/>
        </w:rPr>
        <w:t xml:space="preserve">Statutory children’s social care assessments and services </w:t>
      </w:r>
    </w:p>
    <w:p w14:paraId="298C76B2" w14:textId="77777777" w:rsidR="00A932C3" w:rsidRDefault="00324E68">
      <w:pPr>
        <w:numPr>
          <w:ilvl w:val="0"/>
          <w:numId w:val="18"/>
        </w:numPr>
        <w:spacing w:after="270" w:line="289" w:lineRule="auto"/>
        <w:ind w:right="2153"/>
      </w:pPr>
      <w:r>
        <w:rPr>
          <w:b/>
        </w:rPr>
        <w:t xml:space="preserve">Where a child is suffering, or is likely to suffer from harm, it is important that a referral to local authority children’s social care and if appropriate the police, </w:t>
      </w:r>
      <w:r>
        <w:t xml:space="preserve">(see </w:t>
      </w:r>
      <w:hyperlink r:id="rId47">
        <w:r>
          <w:rPr>
            <w:color w:val="0000FF"/>
            <w:u w:val="single" w:color="0000FF"/>
          </w:rPr>
          <w:t>when to call the police: guidance for schools</w:t>
        </w:r>
      </w:hyperlink>
      <w:hyperlink r:id="rId48">
        <w:r>
          <w:rPr>
            <w:color w:val="0000FF"/>
          </w:rPr>
          <w:t xml:space="preserve"> </w:t>
        </w:r>
      </w:hyperlink>
      <w:hyperlink r:id="rId49">
        <w:r>
          <w:rPr>
            <w:color w:val="0000FF"/>
            <w:u w:val="single" w:color="0000FF"/>
          </w:rPr>
          <w:t>and</w:t>
        </w:r>
      </w:hyperlink>
      <w:hyperlink r:id="rId50">
        <w:r>
          <w:rPr>
            <w:color w:val="0000FF"/>
          </w:rPr>
          <w:t xml:space="preserve"> </w:t>
        </w:r>
      </w:hyperlink>
      <w:hyperlink r:id="rId51">
        <w:r>
          <w:rPr>
            <w:color w:val="0000FF"/>
            <w:u w:val="single" w:color="0000FF"/>
          </w:rPr>
          <w:t>colleges (npcc.police.uk)</w:t>
        </w:r>
      </w:hyperlink>
      <w:hyperlink r:id="rId52">
        <w:r>
          <w:t>)</w:t>
        </w:r>
      </w:hyperlink>
      <w:r>
        <w:t xml:space="preserve"> </w:t>
      </w:r>
      <w:r>
        <w:rPr>
          <w:b/>
        </w:rPr>
        <w:t>is made immediately</w:t>
      </w:r>
      <w:r>
        <w:t xml:space="preserve">. Referrals should follow the local referral process. </w:t>
      </w:r>
    </w:p>
    <w:p w14:paraId="0CB258F8" w14:textId="77777777" w:rsidR="00A932C3" w:rsidRDefault="00324E68">
      <w:pPr>
        <w:numPr>
          <w:ilvl w:val="0"/>
          <w:numId w:val="18"/>
        </w:numPr>
        <w:spacing w:after="30" w:line="304" w:lineRule="auto"/>
        <w:ind w:right="2153"/>
      </w:pPr>
      <w:r>
        <w:t>Local authority children’s social care assessments should consider where children are being harmed in contexts outside of the home</w:t>
      </w:r>
      <w:r>
        <w:rPr>
          <w:vertAlign w:val="superscript"/>
        </w:rPr>
        <w:footnoteReference w:id="14"/>
      </w:r>
      <w:r>
        <w:rPr>
          <w:sz w:val="22"/>
        </w:rPr>
        <w:t xml:space="preserve">, </w:t>
      </w:r>
      <w:r>
        <w:t xml:space="preserve">so it is important that schools and colleges provide as much information as possible as part of the referral process. This will allow any assessment to </w:t>
      </w:r>
    </w:p>
    <w:p w14:paraId="310BCE74"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3EA17F7F" wp14:editId="54A50832">
                <wp:extent cx="1828800" cy="6858"/>
                <wp:effectExtent l="0" t="0" r="0" b="0"/>
                <wp:docPr id="47512" name="Group 47512"/>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69" name="Shape 57669"/>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512" style="width:144pt;height:0.539978pt;mso-position-horizontal-relative:char;mso-position-vertical-relative:line" coordsize="18288,68">
                <v:shape id="Shape 57670"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2CFC0000" w14:textId="77777777" w:rsidR="00A932C3" w:rsidRDefault="00324E68">
      <w:pPr>
        <w:spacing w:after="310"/>
        <w:ind w:left="301" w:right="1815"/>
      </w:pPr>
      <w:r>
        <w:t xml:space="preserve">consider all the available evidence and enable a contextual approach to address such harm. Additional information is available here: </w:t>
      </w:r>
      <w:hyperlink r:id="rId53">
        <w:r>
          <w:rPr>
            <w:color w:val="0000FF"/>
            <w:u w:val="single" w:color="0000FF"/>
          </w:rPr>
          <w:t>Contextual</w:t>
        </w:r>
      </w:hyperlink>
      <w:hyperlink r:id="rId54">
        <w:r>
          <w:rPr>
            <w:color w:val="0000FF"/>
          </w:rPr>
          <w:t xml:space="preserve"> </w:t>
        </w:r>
      </w:hyperlink>
      <w:hyperlink r:id="rId55">
        <w:r>
          <w:rPr>
            <w:color w:val="0000FF"/>
            <w:u w:val="single" w:color="0000FF"/>
          </w:rPr>
          <w:t>Safeguarding.</w:t>
        </w:r>
      </w:hyperlink>
      <w:hyperlink r:id="rId56">
        <w:r>
          <w:t xml:space="preserve"> </w:t>
        </w:r>
      </w:hyperlink>
    </w:p>
    <w:p w14:paraId="5A98BAE4" w14:textId="77777777" w:rsidR="00A932C3" w:rsidRDefault="00324E68">
      <w:pPr>
        <w:numPr>
          <w:ilvl w:val="0"/>
          <w:numId w:val="18"/>
        </w:numPr>
        <w:spacing w:after="0" w:line="302" w:lineRule="auto"/>
        <w:ind w:right="2153"/>
      </w:pPr>
      <w:r>
        <w:t xml:space="preserve">The online tool </w:t>
      </w:r>
      <w:hyperlink r:id="rId57">
        <w:r>
          <w:rPr>
            <w:color w:val="0000FF"/>
            <w:u w:val="single" w:color="0000FF"/>
          </w:rPr>
          <w:t>Report child abuse to your local council</w:t>
        </w:r>
      </w:hyperlink>
      <w:hyperlink r:id="rId58">
        <w:r>
          <w:rPr>
            <w:color w:val="0000FF"/>
          </w:rPr>
          <w:t xml:space="preserve"> </w:t>
        </w:r>
      </w:hyperlink>
      <w:r>
        <w:t xml:space="preserve">directs to the relevant local authority children’s social care contact details. </w:t>
      </w:r>
    </w:p>
    <w:p w14:paraId="3046B431" w14:textId="77777777" w:rsidR="00A932C3" w:rsidRDefault="00324E68">
      <w:pPr>
        <w:spacing w:after="121" w:line="259" w:lineRule="auto"/>
        <w:ind w:left="291" w:firstLine="0"/>
      </w:pPr>
      <w:r>
        <w:t xml:space="preserve"> </w:t>
      </w:r>
    </w:p>
    <w:p w14:paraId="237B7CD7" w14:textId="77777777" w:rsidR="00A932C3" w:rsidRDefault="00324E68">
      <w:pPr>
        <w:pStyle w:val="Heading4"/>
        <w:spacing w:after="264"/>
      </w:pPr>
      <w:r>
        <w:rPr>
          <w:color w:val="0F4761"/>
        </w:rPr>
        <w:t xml:space="preserve">Children in need </w:t>
      </w:r>
    </w:p>
    <w:p w14:paraId="5371110E" w14:textId="77777777" w:rsidR="00A932C3" w:rsidRDefault="00324E68">
      <w:pPr>
        <w:spacing w:after="125"/>
        <w:ind w:left="290" w:right="2206"/>
      </w:pPr>
      <w:r>
        <w:t xml:space="preserve">68. </w:t>
      </w:r>
      <w:r>
        <w:tab/>
        <w:t xml:space="preserve">A child in need is defined under the </w:t>
      </w:r>
      <w:hyperlink r:id="rId59">
        <w:r>
          <w:rPr>
            <w:color w:val="0000FF"/>
            <w:u w:val="single" w:color="0000FF"/>
          </w:rPr>
          <w:t>Children Act 1989</w:t>
        </w:r>
      </w:hyperlink>
      <w:hyperlink r:id="rId60">
        <w:r>
          <w:rPr>
            <w:color w:val="0000FF"/>
          </w:rPr>
          <w:t xml:space="preserve"> </w:t>
        </w:r>
      </w:hyperlink>
      <w:r>
        <w:t xml:space="preserve">as a child who is unlikely to achieve or maintain a reasonable level of health or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Children in need may be assessed under </w:t>
      </w:r>
      <w:hyperlink r:id="rId61">
        <w:r>
          <w:rPr>
            <w:color w:val="0000FF"/>
            <w:u w:val="single" w:color="0000FF"/>
          </w:rPr>
          <w:t>section 17 of</w:t>
        </w:r>
      </w:hyperlink>
      <w:hyperlink r:id="rId62">
        <w:r>
          <w:rPr>
            <w:color w:val="0000FF"/>
          </w:rPr>
          <w:t xml:space="preserve"> </w:t>
        </w:r>
      </w:hyperlink>
      <w:hyperlink r:id="rId63">
        <w:r>
          <w:rPr>
            <w:color w:val="0000FF"/>
            <w:u w:val="single" w:color="0000FF"/>
          </w:rPr>
          <w:t>the Children Act 1989</w:t>
        </w:r>
      </w:hyperlink>
      <w:hyperlink r:id="rId64">
        <w:r>
          <w:t>.</w:t>
        </w:r>
      </w:hyperlink>
      <w:r>
        <w:t xml:space="preserve"> As outlined in </w:t>
      </w:r>
      <w:hyperlink r:id="rId65">
        <w:r>
          <w:rPr>
            <w:color w:val="0000FF"/>
            <w:u w:val="single" w:color="0000FF"/>
          </w:rPr>
          <w:t>Working Together to Safeguard Children</w:t>
        </w:r>
      </w:hyperlink>
      <w:hyperlink r:id="rId66">
        <w:r>
          <w:t>,</w:t>
        </w:r>
      </w:hyperlink>
      <w:r>
        <w:t xml:space="preserve"> local authorities, with their safeguarding partners and any relevant agencies, should </w:t>
      </w:r>
    </w:p>
    <w:p w14:paraId="33A834D5" w14:textId="77777777" w:rsidR="00A932C3" w:rsidRDefault="00324E68">
      <w:pPr>
        <w:spacing w:after="170" w:line="285" w:lineRule="auto"/>
        <w:ind w:left="278" w:right="2053" w:firstLine="0"/>
        <w:jc w:val="both"/>
      </w:pPr>
      <w:r>
        <w:t xml:space="preserve">develop, agree and publish local protocols for assessments and support. This should set out who can act as lead practitioner in supporting children and their families under section 17 (which is not limited to social workers). </w:t>
      </w:r>
    </w:p>
    <w:p w14:paraId="56FF94B0" w14:textId="77777777" w:rsidR="00A932C3" w:rsidRDefault="00324E68">
      <w:pPr>
        <w:spacing w:after="0" w:line="259" w:lineRule="auto"/>
        <w:ind w:left="280" w:firstLine="0"/>
      </w:pPr>
      <w:r>
        <w:rPr>
          <w:b/>
          <w:color w:val="0F4761"/>
        </w:rPr>
        <w:t xml:space="preserve"> </w:t>
      </w:r>
    </w:p>
    <w:p w14:paraId="25F7FE74" w14:textId="77777777" w:rsidR="00A932C3" w:rsidRDefault="00324E68">
      <w:pPr>
        <w:pStyle w:val="Heading4"/>
      </w:pPr>
      <w:r>
        <w:rPr>
          <w:color w:val="0F4761"/>
        </w:rPr>
        <w:t xml:space="preserve">Children suffering or likely to suffer significant harm </w:t>
      </w:r>
    </w:p>
    <w:p w14:paraId="35E96BCD" w14:textId="77777777" w:rsidR="00A932C3" w:rsidRDefault="00324E68">
      <w:pPr>
        <w:numPr>
          <w:ilvl w:val="0"/>
          <w:numId w:val="19"/>
        </w:numPr>
        <w:spacing w:after="125"/>
        <w:ind w:right="2040" w:hanging="721"/>
      </w:pPr>
      <w:r>
        <w:t xml:space="preserve">Local authorities, with the help of other organisations as appropriate, have a duty to make enquiries under </w:t>
      </w:r>
      <w:hyperlink r:id="rId67">
        <w:r>
          <w:rPr>
            <w:color w:val="0000FF"/>
            <w:u w:val="single" w:color="0000FF"/>
          </w:rPr>
          <w:t>section 47 of the Children Act 1989</w:t>
        </w:r>
      </w:hyperlink>
      <w:hyperlink r:id="rId68">
        <w:r>
          <w:rPr>
            <w:color w:val="0000FF"/>
          </w:rPr>
          <w:t xml:space="preserve"> </w:t>
        </w:r>
      </w:hyperlink>
      <w:r>
        <w:t xml:space="preserve">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This includes all forms of abuse, neglect and exploitation. </w:t>
      </w:r>
    </w:p>
    <w:p w14:paraId="56D97223" w14:textId="77777777" w:rsidR="00A932C3" w:rsidRDefault="00324E68">
      <w:pPr>
        <w:spacing w:after="0" w:line="259" w:lineRule="auto"/>
        <w:ind w:left="280" w:firstLine="0"/>
      </w:pPr>
      <w:r>
        <w:rPr>
          <w:b/>
          <w:color w:val="0F4761"/>
        </w:rPr>
        <w:t xml:space="preserve"> </w:t>
      </w:r>
    </w:p>
    <w:p w14:paraId="6EFC7A4F" w14:textId="77777777" w:rsidR="00A932C3" w:rsidRDefault="00324E68">
      <w:pPr>
        <w:spacing w:after="265" w:line="259" w:lineRule="auto"/>
        <w:ind w:left="290"/>
      </w:pPr>
      <w:r>
        <w:rPr>
          <w:b/>
          <w:color w:val="0F4761"/>
        </w:rPr>
        <w:t xml:space="preserve">What will the local authority do? </w:t>
      </w:r>
    </w:p>
    <w:p w14:paraId="66ED217B" w14:textId="77777777" w:rsidR="00A932C3" w:rsidRDefault="00324E68">
      <w:pPr>
        <w:numPr>
          <w:ilvl w:val="0"/>
          <w:numId w:val="19"/>
        </w:numPr>
        <w:spacing w:after="47"/>
        <w:ind w:right="2040" w:hanging="721"/>
      </w:pPr>
      <w:r>
        <w:t xml:space="preserve">Within one working day of a referral being made, a local authority social worker should acknowledge its receipt to the referrer and make a decision about the next steps and the type of response that is required. This will include determining whether: </w:t>
      </w:r>
    </w:p>
    <w:p w14:paraId="322A6465" w14:textId="77777777" w:rsidR="00A932C3" w:rsidRDefault="00324E68">
      <w:pPr>
        <w:spacing w:after="189" w:line="259" w:lineRule="auto"/>
        <w:ind w:left="291" w:firstLine="0"/>
      </w:pPr>
      <w:r>
        <w:t xml:space="preserve"> </w:t>
      </w:r>
    </w:p>
    <w:p w14:paraId="1F5A4212" w14:textId="77777777" w:rsidR="00A932C3" w:rsidRDefault="00324E68">
      <w:pPr>
        <w:numPr>
          <w:ilvl w:val="1"/>
          <w:numId w:val="19"/>
        </w:numPr>
        <w:spacing w:after="153" w:line="259" w:lineRule="auto"/>
        <w:ind w:right="1087" w:hanging="360"/>
        <w:jc w:val="both"/>
      </w:pPr>
      <w:r>
        <w:t>the child requires immediate protection and urgent action is required,</w:t>
      </w:r>
      <w:r>
        <w:rPr>
          <w:rFonts w:ascii="Segoe UI Symbol" w:eastAsia="Segoe UI Symbol" w:hAnsi="Segoe UI Symbol" w:cs="Segoe UI Symbol"/>
        </w:rPr>
        <w:t xml:space="preserve"> </w:t>
      </w:r>
    </w:p>
    <w:p w14:paraId="64A57C09" w14:textId="77777777" w:rsidR="00A932C3" w:rsidRDefault="00324E68">
      <w:pPr>
        <w:numPr>
          <w:ilvl w:val="1"/>
          <w:numId w:val="19"/>
        </w:numPr>
        <w:spacing w:after="153" w:line="259" w:lineRule="auto"/>
        <w:ind w:right="1087" w:hanging="360"/>
        <w:jc w:val="both"/>
      </w:pPr>
      <w:r>
        <w:t>any services are required by the child and family and what type of services,</w:t>
      </w:r>
      <w:r>
        <w:rPr>
          <w:rFonts w:ascii="Segoe UI Symbol" w:eastAsia="Segoe UI Symbol" w:hAnsi="Segoe UI Symbol" w:cs="Segoe UI Symbol"/>
        </w:rPr>
        <w:t xml:space="preserve"> </w:t>
      </w:r>
    </w:p>
    <w:p w14:paraId="3B945AC2" w14:textId="77777777" w:rsidR="00A932C3" w:rsidRDefault="00324E68">
      <w:pPr>
        <w:numPr>
          <w:ilvl w:val="1"/>
          <w:numId w:val="19"/>
        </w:numPr>
        <w:spacing w:after="127" w:line="285" w:lineRule="auto"/>
        <w:ind w:right="1087" w:hanging="360"/>
        <w:jc w:val="both"/>
      </w:pPr>
      <w:r>
        <w:t xml:space="preserve">the child is in need and should be assessed under section 17 of the Children Act 1989. </w:t>
      </w:r>
      <w:hyperlink r:id="rId69">
        <w:r>
          <w:rPr>
            <w:color w:val="0000FF"/>
            <w:u w:val="single" w:color="0000FF"/>
          </w:rPr>
          <w:t>Working Together to Safeguard Children</w:t>
        </w:r>
      </w:hyperlink>
      <w:hyperlink r:id="rId70">
        <w:r>
          <w:rPr>
            <w:color w:val="0000FF"/>
          </w:rPr>
          <w:t xml:space="preserve"> </w:t>
        </w:r>
      </w:hyperlink>
      <w:r>
        <w:t>provides details of the assessment process,</w:t>
      </w:r>
      <w:r>
        <w:rPr>
          <w:rFonts w:ascii="Segoe UI Symbol" w:eastAsia="Segoe UI Symbol" w:hAnsi="Segoe UI Symbol" w:cs="Segoe UI Symbol"/>
        </w:rPr>
        <w:t xml:space="preserve"> </w:t>
      </w:r>
    </w:p>
    <w:p w14:paraId="456A971F" w14:textId="77777777" w:rsidR="00A932C3" w:rsidRDefault="00324E68">
      <w:pPr>
        <w:numPr>
          <w:ilvl w:val="1"/>
          <w:numId w:val="19"/>
        </w:numPr>
        <w:spacing w:after="127" w:line="285" w:lineRule="auto"/>
        <w:ind w:right="1087" w:hanging="360"/>
        <w:jc w:val="both"/>
      </w:pPr>
      <w:r>
        <w:t xml:space="preserve">there is reasonable cause to suspect the child is suffering or likely to suffer significant harm, and whether enquiries must be made, and the child assessed under section 47 of the Children Act 1989. </w:t>
      </w:r>
      <w:hyperlink r:id="rId71">
        <w:r>
          <w:rPr>
            <w:color w:val="0000FF"/>
            <w:u w:val="single" w:color="0000FF"/>
          </w:rPr>
          <w:t>Working Together to Safeguard</w:t>
        </w:r>
      </w:hyperlink>
      <w:hyperlink r:id="rId72">
        <w:r>
          <w:rPr>
            <w:color w:val="0000FF"/>
          </w:rPr>
          <w:t xml:space="preserve"> </w:t>
        </w:r>
      </w:hyperlink>
      <w:hyperlink r:id="rId73">
        <w:r>
          <w:rPr>
            <w:color w:val="0000FF"/>
            <w:u w:val="single" w:color="0000FF"/>
          </w:rPr>
          <w:t>Children</w:t>
        </w:r>
      </w:hyperlink>
      <w:hyperlink r:id="rId74">
        <w:r>
          <w:rPr>
            <w:color w:val="0000FF"/>
          </w:rPr>
          <w:t xml:space="preserve"> </w:t>
        </w:r>
      </w:hyperlink>
      <w:r>
        <w:t>provides details of the assessment process, and</w:t>
      </w:r>
      <w:r>
        <w:rPr>
          <w:rFonts w:ascii="Segoe UI Symbol" w:eastAsia="Segoe UI Symbol" w:hAnsi="Segoe UI Symbol" w:cs="Segoe UI Symbol"/>
        </w:rPr>
        <w:t xml:space="preserve"> </w:t>
      </w:r>
    </w:p>
    <w:p w14:paraId="25346784" w14:textId="77777777" w:rsidR="00A932C3" w:rsidRDefault="00324E68">
      <w:pPr>
        <w:numPr>
          <w:ilvl w:val="1"/>
          <w:numId w:val="19"/>
        </w:numPr>
        <w:spacing w:after="239"/>
        <w:ind w:right="1087" w:hanging="360"/>
        <w:jc w:val="both"/>
      </w:pPr>
      <w:r>
        <w:t>further specialist assessments are required to help the local authority to decide what further action to take.</w:t>
      </w:r>
      <w:r>
        <w:rPr>
          <w:rFonts w:ascii="Segoe UI Symbol" w:eastAsia="Segoe UI Symbol" w:hAnsi="Segoe UI Symbol" w:cs="Segoe UI Symbol"/>
        </w:rPr>
        <w:t xml:space="preserve"> </w:t>
      </w:r>
    </w:p>
    <w:p w14:paraId="6673F1F7" w14:textId="77777777" w:rsidR="00A932C3" w:rsidRDefault="00324E68">
      <w:pPr>
        <w:numPr>
          <w:ilvl w:val="0"/>
          <w:numId w:val="19"/>
        </w:numPr>
        <w:spacing w:after="322"/>
        <w:ind w:right="2040" w:hanging="721"/>
      </w:pPr>
      <w:r>
        <w:t xml:space="preserve">The referrer should follow up if this information is not forthcoming. </w:t>
      </w:r>
    </w:p>
    <w:p w14:paraId="091687B8" w14:textId="77777777" w:rsidR="00A932C3" w:rsidRDefault="00324E68">
      <w:pPr>
        <w:numPr>
          <w:ilvl w:val="0"/>
          <w:numId w:val="19"/>
        </w:numPr>
        <w:spacing w:after="261" w:line="299" w:lineRule="auto"/>
        <w:ind w:right="2040" w:hanging="721"/>
      </w:pPr>
      <w:r>
        <w:t xml:space="preserve">If social workers decide to carry out a statutory assessment, staff should do everything they can to support that assessment, supported by the designated safeguarding lead (or a deputy) as required. </w:t>
      </w:r>
    </w:p>
    <w:p w14:paraId="40616267" w14:textId="77777777" w:rsidR="00A932C3" w:rsidRDefault="00324E68">
      <w:pPr>
        <w:numPr>
          <w:ilvl w:val="0"/>
          <w:numId w:val="19"/>
        </w:numPr>
        <w:spacing w:after="47"/>
        <w:ind w:right="2040" w:hanging="721"/>
      </w:pPr>
      <w:r>
        <w:t xml:space="preserve">If, after a referral, the child’s situation does not appear to be improving, the referrer should consider following local escalation procedures to ensure their concerns have been addressed and, most importantly, that the child’s situation improves. </w:t>
      </w:r>
    </w:p>
    <w:p w14:paraId="7308EAF9" w14:textId="77777777" w:rsidR="00A932C3" w:rsidRDefault="00324E68">
      <w:pPr>
        <w:spacing w:after="121" w:line="259" w:lineRule="auto"/>
        <w:ind w:left="291" w:firstLine="0"/>
      </w:pPr>
      <w:r>
        <w:t xml:space="preserve"> </w:t>
      </w:r>
    </w:p>
    <w:p w14:paraId="382B3F54" w14:textId="77777777" w:rsidR="00A932C3" w:rsidRDefault="00324E68">
      <w:pPr>
        <w:pStyle w:val="Heading4"/>
      </w:pPr>
      <w:r>
        <w:rPr>
          <w:color w:val="0F4761"/>
        </w:rPr>
        <w:t xml:space="preserve">Record keeping </w:t>
      </w:r>
    </w:p>
    <w:p w14:paraId="6E295081" w14:textId="77777777" w:rsidR="00A932C3" w:rsidRDefault="00324E68">
      <w:pPr>
        <w:numPr>
          <w:ilvl w:val="0"/>
          <w:numId w:val="20"/>
        </w:numPr>
        <w:spacing w:after="289"/>
        <w:ind w:right="2236"/>
      </w:pPr>
      <w:r>
        <w:t xml:space="preserve">All concerns, discussions and decisions made, and the reasons for those decisions, should be recorded in writing. This will also help if/when responding to any complaints about the way a case has been handled by the school or college. Information should be kept confidential and stored securely. It is good practice to keep concerns and referrals in a separate child protection file for each child. </w:t>
      </w:r>
    </w:p>
    <w:p w14:paraId="420260A5" w14:textId="77777777" w:rsidR="00A932C3" w:rsidRDefault="00324E68">
      <w:pPr>
        <w:spacing w:after="243"/>
        <w:ind w:left="301" w:right="10"/>
      </w:pPr>
      <w:r>
        <w:t xml:space="preserve">Records </w:t>
      </w:r>
      <w:r>
        <w:rPr>
          <w:b/>
        </w:rPr>
        <w:t xml:space="preserve">should </w:t>
      </w:r>
      <w:r>
        <w:t xml:space="preserve">include: </w:t>
      </w:r>
    </w:p>
    <w:p w14:paraId="7042767A" w14:textId="77777777" w:rsidR="00A932C3" w:rsidRDefault="00324E68">
      <w:pPr>
        <w:numPr>
          <w:ilvl w:val="1"/>
          <w:numId w:val="20"/>
        </w:numPr>
        <w:ind w:right="10" w:hanging="360"/>
      </w:pPr>
      <w:r>
        <w:t>a clear and comprehensive summary of the concern</w:t>
      </w:r>
      <w:r>
        <w:rPr>
          <w:rFonts w:ascii="Segoe UI Symbol" w:eastAsia="Segoe UI Symbol" w:hAnsi="Segoe UI Symbol" w:cs="Segoe UI Symbol"/>
        </w:rPr>
        <w:t xml:space="preserve"> </w:t>
      </w:r>
    </w:p>
    <w:p w14:paraId="40C80CAC" w14:textId="77777777" w:rsidR="00A932C3" w:rsidRDefault="00324E68">
      <w:pPr>
        <w:numPr>
          <w:ilvl w:val="1"/>
          <w:numId w:val="20"/>
        </w:numPr>
        <w:ind w:right="10" w:hanging="360"/>
      </w:pPr>
      <w:r>
        <w:t>details of how the concern was followed up and resolved, and</w:t>
      </w:r>
      <w:r>
        <w:rPr>
          <w:rFonts w:ascii="Segoe UI Symbol" w:eastAsia="Segoe UI Symbol" w:hAnsi="Segoe UI Symbol" w:cs="Segoe UI Symbol"/>
        </w:rPr>
        <w:t xml:space="preserve"> </w:t>
      </w:r>
    </w:p>
    <w:p w14:paraId="559B011E" w14:textId="77777777" w:rsidR="00A932C3" w:rsidRDefault="00324E68">
      <w:pPr>
        <w:numPr>
          <w:ilvl w:val="1"/>
          <w:numId w:val="20"/>
        </w:numPr>
        <w:spacing w:after="221" w:line="259" w:lineRule="auto"/>
        <w:ind w:right="10" w:hanging="360"/>
      </w:pPr>
      <w:r>
        <w:t>a note of any action taken, decisions reached and the outcome.</w:t>
      </w:r>
      <w:r>
        <w:rPr>
          <w:rFonts w:ascii="Segoe UI Symbol" w:eastAsia="Segoe UI Symbol" w:hAnsi="Segoe UI Symbol" w:cs="Segoe UI Symbol"/>
        </w:rPr>
        <w:t xml:space="preserve"> </w:t>
      </w:r>
    </w:p>
    <w:p w14:paraId="3686C58C" w14:textId="77777777" w:rsidR="00A932C3" w:rsidRDefault="00324E68">
      <w:pPr>
        <w:numPr>
          <w:ilvl w:val="0"/>
          <w:numId w:val="20"/>
        </w:numPr>
        <w:spacing w:after="74" w:line="302" w:lineRule="auto"/>
        <w:ind w:right="2236"/>
      </w:pPr>
      <w:r>
        <w:t xml:space="preserve">If in doubt about recording requirements, staff should discuss with the designated safeguarding lead (or a deputy). </w:t>
      </w:r>
    </w:p>
    <w:p w14:paraId="6B556A0B" w14:textId="77777777" w:rsidR="00A932C3" w:rsidRDefault="00324E68">
      <w:pPr>
        <w:spacing w:after="0" w:line="259" w:lineRule="auto"/>
        <w:ind w:left="1" w:firstLine="0"/>
      </w:pPr>
      <w:r>
        <w:t xml:space="preserve"> </w:t>
      </w:r>
    </w:p>
    <w:p w14:paraId="46D20E33" w14:textId="77777777" w:rsidR="00A932C3" w:rsidRDefault="00324E68">
      <w:pPr>
        <w:spacing w:after="229" w:line="259" w:lineRule="auto"/>
        <w:ind w:left="275"/>
      </w:pPr>
      <w:r>
        <w:rPr>
          <w:b/>
          <w:color w:val="104F75"/>
          <w:sz w:val="28"/>
        </w:rPr>
        <w:t xml:space="preserve">Why is all of this important? </w:t>
      </w:r>
    </w:p>
    <w:p w14:paraId="03778B14" w14:textId="77777777" w:rsidR="00A932C3" w:rsidRDefault="00324E68">
      <w:pPr>
        <w:numPr>
          <w:ilvl w:val="0"/>
          <w:numId w:val="20"/>
        </w:numPr>
        <w:spacing w:after="0" w:line="300" w:lineRule="auto"/>
        <w:ind w:right="2236"/>
      </w:pPr>
      <w:r>
        <w:t>It is important for children to receive the right help at the right time to address safeguarding risks, prevent issues escalating and to promote children’s welfare. Research and local child safeguarding practice reviews have repeatedly shown the dangers of failing to take effective action.</w:t>
      </w:r>
      <w:r>
        <w:rPr>
          <w:vertAlign w:val="superscript"/>
        </w:rPr>
        <w:footnoteReference w:id="15"/>
      </w:r>
      <w:r>
        <w:rPr>
          <w:sz w:val="22"/>
          <w:vertAlign w:val="superscript"/>
        </w:rPr>
        <w:t xml:space="preserve"> </w:t>
      </w:r>
      <w:r>
        <w:t xml:space="preserve">Further information about local child safeguarding practice can be found in </w:t>
      </w:r>
      <w:hyperlink r:id="rId75">
        <w:r>
          <w:rPr>
            <w:color w:val="0000FF"/>
            <w:u w:val="single" w:color="0000FF"/>
          </w:rPr>
          <w:t>Working Together to Safeguard Children.</w:t>
        </w:r>
      </w:hyperlink>
      <w:hyperlink r:id="rId76">
        <w:r>
          <w:t xml:space="preserve"> </w:t>
        </w:r>
      </w:hyperlink>
    </w:p>
    <w:p w14:paraId="1C1F3BDC" w14:textId="77777777" w:rsidR="00A932C3" w:rsidRDefault="00324E68">
      <w:pPr>
        <w:spacing w:after="0" w:line="259" w:lineRule="auto"/>
        <w:ind w:left="293" w:firstLine="0"/>
      </w:pPr>
      <w:r>
        <w:t xml:space="preserve"> </w:t>
      </w:r>
    </w:p>
    <w:p w14:paraId="7548263C" w14:textId="77777777" w:rsidR="00A932C3" w:rsidRDefault="00324E68">
      <w:pPr>
        <w:spacing w:after="225"/>
        <w:ind w:left="303" w:right="10"/>
      </w:pPr>
      <w:r>
        <w:t xml:space="preserve">Examples of poor practice include: </w:t>
      </w:r>
    </w:p>
    <w:p w14:paraId="6BEFB84A" w14:textId="77777777" w:rsidR="00A932C3" w:rsidRDefault="00324E68">
      <w:pPr>
        <w:numPr>
          <w:ilvl w:val="1"/>
          <w:numId w:val="20"/>
        </w:numPr>
        <w:ind w:right="10" w:hanging="360"/>
      </w:pPr>
      <w:r>
        <w:t>failing to act on and refer the early signs of abuse and neglect,</w:t>
      </w:r>
      <w:r>
        <w:rPr>
          <w:rFonts w:ascii="Segoe UI Symbol" w:eastAsia="Segoe UI Symbol" w:hAnsi="Segoe UI Symbol" w:cs="Segoe UI Symbol"/>
        </w:rPr>
        <w:t xml:space="preserve"> </w:t>
      </w:r>
    </w:p>
    <w:p w14:paraId="667DEFAF" w14:textId="77777777" w:rsidR="00A932C3" w:rsidRDefault="00324E68">
      <w:pPr>
        <w:numPr>
          <w:ilvl w:val="1"/>
          <w:numId w:val="20"/>
        </w:numPr>
        <w:ind w:right="10" w:hanging="360"/>
      </w:pPr>
      <w:r>
        <w:t>poor record keeping,</w:t>
      </w:r>
      <w:r>
        <w:rPr>
          <w:rFonts w:ascii="Segoe UI Symbol" w:eastAsia="Segoe UI Symbol" w:hAnsi="Segoe UI Symbol" w:cs="Segoe UI Symbol"/>
        </w:rPr>
        <w:t xml:space="preserve"> </w:t>
      </w:r>
    </w:p>
    <w:p w14:paraId="0860EFB5" w14:textId="77777777" w:rsidR="00A932C3" w:rsidRDefault="00324E68">
      <w:pPr>
        <w:numPr>
          <w:ilvl w:val="1"/>
          <w:numId w:val="20"/>
        </w:numPr>
        <w:ind w:right="10" w:hanging="360"/>
      </w:pPr>
      <w:r>
        <w:t>failing to listen to the views of the child,</w:t>
      </w:r>
      <w:r>
        <w:rPr>
          <w:rFonts w:ascii="Segoe UI Symbol" w:eastAsia="Segoe UI Symbol" w:hAnsi="Segoe UI Symbol" w:cs="Segoe UI Symbol"/>
        </w:rPr>
        <w:t xml:space="preserve"> </w:t>
      </w:r>
    </w:p>
    <w:p w14:paraId="09D8B226" w14:textId="77777777" w:rsidR="00A932C3" w:rsidRDefault="00324E68">
      <w:pPr>
        <w:numPr>
          <w:ilvl w:val="1"/>
          <w:numId w:val="20"/>
        </w:numPr>
        <w:ind w:right="10" w:hanging="360"/>
      </w:pPr>
      <w:r>
        <w:t>failing to re-assess concerns when situations do not improve,</w:t>
      </w:r>
      <w:r>
        <w:rPr>
          <w:rFonts w:ascii="Segoe UI Symbol" w:eastAsia="Segoe UI Symbol" w:hAnsi="Segoe UI Symbol" w:cs="Segoe UI Symbol"/>
        </w:rPr>
        <w:t xml:space="preserve"> </w:t>
      </w:r>
    </w:p>
    <w:p w14:paraId="5937028B" w14:textId="77777777" w:rsidR="00A932C3" w:rsidRDefault="00324E68">
      <w:pPr>
        <w:numPr>
          <w:ilvl w:val="1"/>
          <w:numId w:val="20"/>
        </w:numPr>
        <w:ind w:right="10" w:hanging="360"/>
      </w:pPr>
      <w:r>
        <w:t>not sharing information with the right people within and between agencies,</w:t>
      </w:r>
      <w:r>
        <w:rPr>
          <w:rFonts w:ascii="Segoe UI Symbol" w:eastAsia="Segoe UI Symbol" w:hAnsi="Segoe UI Symbol" w:cs="Segoe UI Symbol"/>
        </w:rPr>
        <w:t xml:space="preserve"> </w:t>
      </w:r>
    </w:p>
    <w:p w14:paraId="2E6964D1" w14:textId="77777777" w:rsidR="00A932C3" w:rsidRDefault="00324E68">
      <w:pPr>
        <w:numPr>
          <w:ilvl w:val="1"/>
          <w:numId w:val="20"/>
        </w:numPr>
        <w:ind w:right="10" w:hanging="360"/>
      </w:pPr>
      <w:r>
        <w:t>sharing information too slowly, and</w:t>
      </w:r>
      <w:r>
        <w:rPr>
          <w:rFonts w:ascii="Segoe UI Symbol" w:eastAsia="Segoe UI Symbol" w:hAnsi="Segoe UI Symbol" w:cs="Segoe UI Symbol"/>
        </w:rPr>
        <w:t xml:space="preserve"> </w:t>
      </w:r>
    </w:p>
    <w:p w14:paraId="1C4D62FF" w14:textId="77777777" w:rsidR="00A932C3" w:rsidRDefault="00324E68">
      <w:pPr>
        <w:numPr>
          <w:ilvl w:val="1"/>
          <w:numId w:val="20"/>
        </w:numPr>
        <w:spacing w:after="87"/>
        <w:ind w:right="10" w:hanging="360"/>
      </w:pPr>
      <w:r>
        <w:t>a lack of challenge to those who appear not to be taking action.</w:t>
      </w:r>
      <w:r>
        <w:rPr>
          <w:rFonts w:ascii="Segoe UI Symbol" w:eastAsia="Segoe UI Symbol" w:hAnsi="Segoe UI Symbol" w:cs="Segoe UI Symbol"/>
        </w:rPr>
        <w:t xml:space="preserve"> </w:t>
      </w:r>
    </w:p>
    <w:p w14:paraId="5FDB8589" w14:textId="77777777" w:rsidR="00A932C3" w:rsidRDefault="00324E68">
      <w:pPr>
        <w:spacing w:after="236" w:line="259" w:lineRule="auto"/>
        <w:ind w:left="1" w:firstLine="0"/>
      </w:pPr>
      <w:r>
        <w:rPr>
          <w:sz w:val="20"/>
        </w:rPr>
        <w:t xml:space="preserve"> </w:t>
      </w:r>
    </w:p>
    <w:p w14:paraId="039EBBC1" w14:textId="77777777" w:rsidR="00A932C3" w:rsidRDefault="00324E68">
      <w:pPr>
        <w:pStyle w:val="Heading3"/>
        <w:spacing w:after="229"/>
        <w:ind w:left="275"/>
      </w:pPr>
      <w:r>
        <w:rPr>
          <w:color w:val="104F75"/>
          <w:sz w:val="28"/>
        </w:rPr>
        <w:t xml:space="preserve">What school and college staff should do if they have a safeguarding concern or an allegation about another staff member </w:t>
      </w:r>
    </w:p>
    <w:p w14:paraId="7B958C90" w14:textId="77777777" w:rsidR="00A932C3" w:rsidRDefault="00324E68">
      <w:pPr>
        <w:numPr>
          <w:ilvl w:val="0"/>
          <w:numId w:val="21"/>
        </w:numPr>
        <w:spacing w:after="254" w:line="285" w:lineRule="auto"/>
        <w:ind w:right="2402" w:hanging="11"/>
        <w:jc w:val="both"/>
      </w:pPr>
      <w:r>
        <w:t xml:space="preserve">Schools and colleges should have processes and procedures in place to manage any safeguarding concern or allegation (no matter how small) about staff members (including supply staff, trainee teachers, volunteers, and contractors). </w:t>
      </w:r>
    </w:p>
    <w:p w14:paraId="333E6C05" w14:textId="77777777" w:rsidR="00A932C3" w:rsidRDefault="00324E68">
      <w:pPr>
        <w:numPr>
          <w:ilvl w:val="0"/>
          <w:numId w:val="21"/>
        </w:numPr>
        <w:spacing w:after="127" w:line="285" w:lineRule="auto"/>
        <w:ind w:right="2402" w:hanging="11"/>
        <w:jc w:val="both"/>
      </w:pPr>
      <w:r>
        <w:t xml:space="preserve">If staff have a safeguarding concern or an allegation of harming or posing a risk of harm to children is made about another member of staff (including supply staff, trainee teachers, volunteers, and contractors), then: </w:t>
      </w:r>
    </w:p>
    <w:p w14:paraId="7CC2D175" w14:textId="77777777" w:rsidR="00A932C3" w:rsidRDefault="00324E68">
      <w:pPr>
        <w:numPr>
          <w:ilvl w:val="1"/>
          <w:numId w:val="21"/>
        </w:numPr>
        <w:spacing w:after="1060"/>
        <w:ind w:right="900" w:hanging="360"/>
      </w:pPr>
      <w:r>
        <w:t>this should be referred to the headteacher or principal, who will consider whether an onward referral to the LADO is required,</w:t>
      </w:r>
      <w:r>
        <w:rPr>
          <w:rFonts w:ascii="Segoe UI Symbol" w:eastAsia="Segoe UI Symbol" w:hAnsi="Segoe UI Symbol" w:cs="Segoe UI Symbol"/>
        </w:rPr>
        <w:t xml:space="preserve"> </w:t>
      </w:r>
    </w:p>
    <w:p w14:paraId="58EA66F2"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5A3856EE" wp14:editId="3E6BD076">
                <wp:extent cx="1828800" cy="6858"/>
                <wp:effectExtent l="0" t="0" r="0" b="0"/>
                <wp:docPr id="49222" name="Group 49222"/>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77" name="Shape 57677"/>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9222" style="width:144pt;height:0.539978pt;mso-position-horizontal-relative:char;mso-position-vertical-relative:line" coordsize="18288,68">
                <v:shape id="Shape 57678"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337C2C0E" w14:textId="77777777" w:rsidR="00A932C3" w:rsidRDefault="00324E68">
      <w:pPr>
        <w:numPr>
          <w:ilvl w:val="1"/>
          <w:numId w:val="21"/>
        </w:numPr>
        <w:spacing w:after="127" w:line="285" w:lineRule="auto"/>
        <w:ind w:right="900" w:hanging="360"/>
      </w:pPr>
      <w:r>
        <w:t>where there is a concern/allegation about the headteacher or principal, this should be referred to the chair of governors, chair of the management committee or proprietor of an independent school, and</w:t>
      </w:r>
      <w:r>
        <w:rPr>
          <w:rFonts w:ascii="Segoe UI Symbol" w:eastAsia="Segoe UI Symbol" w:hAnsi="Segoe UI Symbol" w:cs="Segoe UI Symbol"/>
        </w:rPr>
        <w:t xml:space="preserve"> </w:t>
      </w:r>
    </w:p>
    <w:p w14:paraId="3DB2DC45" w14:textId="77777777" w:rsidR="00A932C3" w:rsidRDefault="00324E68">
      <w:pPr>
        <w:numPr>
          <w:ilvl w:val="1"/>
          <w:numId w:val="21"/>
        </w:numPr>
        <w:spacing w:after="253"/>
        <w:ind w:right="900" w:hanging="360"/>
      </w:pPr>
      <w:r>
        <w:t>in the event of a concern/allegation about the headteacher, where the headteacher is also the sole proprietor of an independent school, or a situation where there is a conflict of interest in reporting the matter to the headteacher, this should be reported directly to the LADO(s). Details of your local LADO should be easily accessible on your local authority’s website.</w:t>
      </w:r>
      <w:r>
        <w:rPr>
          <w:rFonts w:ascii="Segoe UI Symbol" w:eastAsia="Segoe UI Symbol" w:hAnsi="Segoe UI Symbol" w:cs="Segoe UI Symbol"/>
        </w:rPr>
        <w:t xml:space="preserve"> </w:t>
      </w:r>
    </w:p>
    <w:p w14:paraId="11B90BFA" w14:textId="77777777" w:rsidR="00A932C3" w:rsidRDefault="00324E68">
      <w:pPr>
        <w:numPr>
          <w:ilvl w:val="0"/>
          <w:numId w:val="21"/>
        </w:numPr>
        <w:spacing w:after="47"/>
        <w:ind w:right="2402" w:hanging="11"/>
        <w:jc w:val="both"/>
      </w:pPr>
      <w:r>
        <w:t xml:space="preserve">If staff have a safeguarding concern or an allegation about another member of staff (including supply staff, trainee teachers, volunteers or contractors) that does not meet the harm threshold, then this should be shared in accordance with the school or college’s low-level concerns policy. </w:t>
      </w:r>
    </w:p>
    <w:p w14:paraId="030D1F2F" w14:textId="77777777" w:rsidR="00A932C3" w:rsidRDefault="00324E68">
      <w:pPr>
        <w:spacing w:after="127"/>
        <w:ind w:left="301" w:right="10"/>
      </w:pPr>
      <w:r>
        <w:t xml:space="preserve">Further details can be found in Part four of this guidance. </w:t>
      </w:r>
    </w:p>
    <w:p w14:paraId="29720BBE" w14:textId="77777777" w:rsidR="00A932C3" w:rsidRDefault="00324E68">
      <w:pPr>
        <w:spacing w:after="199" w:line="259" w:lineRule="auto"/>
        <w:ind w:left="1" w:firstLine="0"/>
      </w:pPr>
      <w:r>
        <w:t xml:space="preserve"> </w:t>
      </w:r>
    </w:p>
    <w:p w14:paraId="17393E50" w14:textId="77777777" w:rsidR="00A932C3" w:rsidRDefault="00324E68">
      <w:pPr>
        <w:pStyle w:val="Heading3"/>
        <w:spacing w:after="229"/>
        <w:ind w:left="275"/>
      </w:pPr>
      <w:r>
        <w:rPr>
          <w:color w:val="104F75"/>
          <w:sz w:val="28"/>
        </w:rPr>
        <w:t xml:space="preserve">What school or college staff should do if they have concerns about safeguarding practices within the school or college </w:t>
      </w:r>
    </w:p>
    <w:p w14:paraId="0A1835B8" w14:textId="77777777" w:rsidR="00A932C3" w:rsidRDefault="00324E68">
      <w:pPr>
        <w:numPr>
          <w:ilvl w:val="0"/>
          <w:numId w:val="22"/>
        </w:numPr>
        <w:spacing w:after="309"/>
        <w:ind w:right="2136"/>
      </w:pPr>
      <w:r>
        <w:t xml:space="preserve">All staff and volunteers should feel able to raise concerns about poor or unsafe practice and potential failures in the school or college’s safeguarding provision and know that such concerns will be taken seriously by the senior leadership team. </w:t>
      </w:r>
    </w:p>
    <w:p w14:paraId="5DD17F3A" w14:textId="77777777" w:rsidR="00A932C3" w:rsidRDefault="00324E68">
      <w:pPr>
        <w:numPr>
          <w:ilvl w:val="0"/>
          <w:numId w:val="22"/>
        </w:numPr>
        <w:spacing w:after="261" w:line="299" w:lineRule="auto"/>
        <w:ind w:right="2136"/>
      </w:pPr>
      <w:r>
        <w:t xml:space="preserve">Appropriate whistleblowing procedures should be put in place for such concerns to be raised with the school or college’s senior leadership team. </w:t>
      </w:r>
    </w:p>
    <w:p w14:paraId="490AB46E" w14:textId="77777777" w:rsidR="00A932C3" w:rsidRDefault="00324E68">
      <w:pPr>
        <w:numPr>
          <w:ilvl w:val="0"/>
          <w:numId w:val="22"/>
        </w:numPr>
        <w:spacing w:after="142" w:line="298" w:lineRule="auto"/>
        <w:ind w:right="2136"/>
      </w:pPr>
      <w:r>
        <w:t xml:space="preserve">Where a staff member feels unable to raise an issue with their employer, or feels that their genuine concerns are not being addressed, other whistleblowing channels are open to them: </w:t>
      </w:r>
    </w:p>
    <w:p w14:paraId="3AB8AA11" w14:textId="77777777" w:rsidR="00A932C3" w:rsidRDefault="00324E68">
      <w:pPr>
        <w:numPr>
          <w:ilvl w:val="1"/>
          <w:numId w:val="22"/>
        </w:numPr>
        <w:spacing w:after="30" w:line="404" w:lineRule="auto"/>
        <w:ind w:right="717" w:hanging="360"/>
      </w:pPr>
      <w:r>
        <w:t xml:space="preserve">general advice on whistleblowing can be found at </w:t>
      </w:r>
      <w:hyperlink r:id="rId77">
        <w:r>
          <w:rPr>
            <w:color w:val="0000FF"/>
            <w:u w:val="single" w:color="0000FF"/>
          </w:rPr>
          <w:t>whistleblowing for</w:t>
        </w:r>
      </w:hyperlink>
      <w:hyperlink r:id="rId78">
        <w:r>
          <w:rPr>
            <w:rFonts w:ascii="Segoe UI Symbol" w:eastAsia="Segoe UI Symbol" w:hAnsi="Segoe UI Symbol" w:cs="Segoe UI Symbol"/>
          </w:rPr>
          <w:t xml:space="preserve"> </w:t>
        </w:r>
      </w:hyperlink>
      <w:hyperlink r:id="rId79">
        <w:r>
          <w:rPr>
            <w:color w:val="0000FF"/>
            <w:u w:val="single" w:color="0000FF"/>
          </w:rPr>
          <w:t>employees</w:t>
        </w:r>
      </w:hyperlink>
      <w:hyperlink r:id="rId80">
        <w:r>
          <w:rPr>
            <w:sz w:val="22"/>
          </w:rPr>
          <w:t>,</w:t>
        </w:r>
      </w:hyperlink>
      <w:r>
        <w:rPr>
          <w:sz w:val="22"/>
        </w:rPr>
        <w:t xml:space="preserve"> and </w:t>
      </w:r>
    </w:p>
    <w:p w14:paraId="59611A4D" w14:textId="77777777" w:rsidR="00A932C3" w:rsidRDefault="00324E68">
      <w:pPr>
        <w:numPr>
          <w:ilvl w:val="1"/>
          <w:numId w:val="22"/>
        </w:numPr>
        <w:spacing w:after="196"/>
        <w:ind w:right="717" w:hanging="360"/>
      </w:pPr>
      <w:r>
        <w:t xml:space="preserve">the </w:t>
      </w:r>
      <w:hyperlink r:id="rId81">
        <w:r>
          <w:rPr>
            <w:color w:val="0000FF"/>
            <w:u w:val="single" w:color="0000FF"/>
          </w:rPr>
          <w:t>NSPCC Whistleblowing Advice Line</w:t>
        </w:r>
      </w:hyperlink>
      <w:hyperlink r:id="rId82">
        <w:r>
          <w:rPr>
            <w:color w:val="0000FF"/>
          </w:rPr>
          <w:t xml:space="preserve"> </w:t>
        </w:r>
      </w:hyperlink>
      <w:r>
        <w:t xml:space="preserve">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r>
        <w:rPr>
          <w:color w:val="0000FF"/>
          <w:u w:val="single" w:color="0000FF"/>
        </w:rPr>
        <w:t>help@nspcc.org.uk</w:t>
      </w:r>
      <w:r>
        <w:rPr>
          <w:sz w:val="22"/>
          <w:vertAlign w:val="superscript"/>
        </w:rPr>
        <w:footnoteReference w:id="16"/>
      </w:r>
      <w:r>
        <w:rPr>
          <w:rFonts w:ascii="Segoe UI Symbol" w:eastAsia="Segoe UI Symbol" w:hAnsi="Segoe UI Symbol" w:cs="Segoe UI Symbol"/>
        </w:rPr>
        <w:t xml:space="preserve"> </w:t>
      </w:r>
    </w:p>
    <w:p w14:paraId="7D3AEACA" w14:textId="77777777" w:rsidR="00A932C3" w:rsidRDefault="00324E68">
      <w:pPr>
        <w:spacing w:after="159" w:line="259" w:lineRule="auto"/>
        <w:ind w:left="1" w:firstLine="0"/>
      </w:pPr>
      <w:r>
        <w:rPr>
          <w:sz w:val="20"/>
        </w:rPr>
        <w:t xml:space="preserve"> </w:t>
      </w:r>
    </w:p>
    <w:p w14:paraId="584E3A06" w14:textId="77777777" w:rsidR="00A932C3" w:rsidRDefault="00324E68">
      <w:pPr>
        <w:spacing w:after="159" w:line="259" w:lineRule="auto"/>
        <w:ind w:left="1" w:firstLine="0"/>
      </w:pPr>
      <w:r>
        <w:rPr>
          <w:sz w:val="20"/>
        </w:rPr>
        <w:t xml:space="preserve"> </w:t>
      </w:r>
    </w:p>
    <w:p w14:paraId="4C14CEB9" w14:textId="77777777" w:rsidR="00A932C3" w:rsidRDefault="00324E68">
      <w:pPr>
        <w:spacing w:after="159" w:line="259" w:lineRule="auto"/>
        <w:ind w:left="1" w:firstLine="0"/>
      </w:pPr>
      <w:r>
        <w:rPr>
          <w:sz w:val="20"/>
        </w:rPr>
        <w:t xml:space="preserve"> </w:t>
      </w:r>
    </w:p>
    <w:p w14:paraId="554B612D" w14:textId="77777777" w:rsidR="00A932C3" w:rsidRDefault="00324E68">
      <w:pPr>
        <w:spacing w:after="159" w:line="259" w:lineRule="auto"/>
        <w:ind w:left="1" w:firstLine="0"/>
      </w:pPr>
      <w:r>
        <w:rPr>
          <w:sz w:val="20"/>
        </w:rPr>
        <w:t xml:space="preserve"> </w:t>
      </w:r>
    </w:p>
    <w:p w14:paraId="47DBF09C" w14:textId="77777777" w:rsidR="00A932C3" w:rsidRDefault="00324E68">
      <w:pPr>
        <w:spacing w:after="159" w:line="259" w:lineRule="auto"/>
        <w:ind w:left="1" w:firstLine="0"/>
      </w:pPr>
      <w:r>
        <w:rPr>
          <w:sz w:val="20"/>
        </w:rPr>
        <w:t xml:space="preserve"> </w:t>
      </w:r>
    </w:p>
    <w:p w14:paraId="5BAA74C6" w14:textId="77777777" w:rsidR="00A932C3" w:rsidRDefault="00324E68">
      <w:pPr>
        <w:spacing w:after="159" w:line="259" w:lineRule="auto"/>
        <w:ind w:left="1" w:firstLine="0"/>
      </w:pPr>
      <w:r>
        <w:rPr>
          <w:sz w:val="20"/>
        </w:rPr>
        <w:t xml:space="preserve"> </w:t>
      </w:r>
    </w:p>
    <w:p w14:paraId="354EC38C" w14:textId="77777777" w:rsidR="00A932C3" w:rsidRDefault="00324E68">
      <w:pPr>
        <w:spacing w:after="160" w:line="259" w:lineRule="auto"/>
        <w:ind w:left="1" w:firstLine="0"/>
      </w:pPr>
      <w:r>
        <w:rPr>
          <w:sz w:val="20"/>
        </w:rPr>
        <w:t xml:space="preserve"> </w:t>
      </w:r>
    </w:p>
    <w:p w14:paraId="29B08FC0" w14:textId="77777777" w:rsidR="00A932C3" w:rsidRDefault="00324E68">
      <w:pPr>
        <w:spacing w:after="197" w:line="259" w:lineRule="auto"/>
        <w:ind w:left="1" w:firstLine="0"/>
      </w:pPr>
      <w:r>
        <w:rPr>
          <w:sz w:val="20"/>
        </w:rPr>
        <w:t xml:space="preserve"> </w:t>
      </w:r>
    </w:p>
    <w:p w14:paraId="758793EF" w14:textId="77777777" w:rsidR="00A932C3" w:rsidRDefault="00324E68">
      <w:pPr>
        <w:spacing w:after="159" w:line="259" w:lineRule="auto"/>
        <w:ind w:left="1" w:firstLine="0"/>
      </w:pPr>
      <w:r>
        <w:rPr>
          <w:b/>
        </w:rPr>
        <w:t xml:space="preserve"> </w:t>
      </w:r>
    </w:p>
    <w:p w14:paraId="6D433A32" w14:textId="77777777" w:rsidR="00A932C3" w:rsidRDefault="00324E68">
      <w:pPr>
        <w:spacing w:after="160" w:line="259" w:lineRule="auto"/>
        <w:ind w:left="1" w:firstLine="0"/>
      </w:pPr>
      <w:r>
        <w:rPr>
          <w:b/>
        </w:rPr>
        <w:t xml:space="preserve"> </w:t>
      </w:r>
    </w:p>
    <w:p w14:paraId="471C9277" w14:textId="77777777" w:rsidR="00A932C3" w:rsidRDefault="00324E68">
      <w:pPr>
        <w:spacing w:after="159" w:line="259" w:lineRule="auto"/>
        <w:ind w:left="1" w:firstLine="0"/>
      </w:pPr>
      <w:r>
        <w:rPr>
          <w:b/>
        </w:rPr>
        <w:t xml:space="preserve"> </w:t>
      </w:r>
    </w:p>
    <w:p w14:paraId="2E2BB447" w14:textId="77777777" w:rsidR="00A932C3" w:rsidRDefault="00324E68">
      <w:pPr>
        <w:spacing w:after="160" w:line="259" w:lineRule="auto"/>
        <w:ind w:left="1" w:firstLine="0"/>
      </w:pPr>
      <w:r>
        <w:rPr>
          <w:b/>
        </w:rPr>
        <w:t xml:space="preserve"> </w:t>
      </w:r>
    </w:p>
    <w:p w14:paraId="5DAFC17C" w14:textId="77777777" w:rsidR="00A932C3" w:rsidRDefault="00324E68">
      <w:pPr>
        <w:spacing w:after="159" w:line="259" w:lineRule="auto"/>
        <w:ind w:left="1" w:firstLine="0"/>
      </w:pPr>
      <w:r>
        <w:rPr>
          <w:b/>
        </w:rPr>
        <w:t xml:space="preserve"> </w:t>
      </w:r>
    </w:p>
    <w:p w14:paraId="3A9EAD01" w14:textId="77777777" w:rsidR="00A932C3" w:rsidRDefault="00324E68">
      <w:pPr>
        <w:spacing w:after="160" w:line="259" w:lineRule="auto"/>
        <w:ind w:left="1" w:firstLine="0"/>
      </w:pPr>
      <w:r>
        <w:rPr>
          <w:b/>
        </w:rPr>
        <w:t xml:space="preserve"> </w:t>
      </w:r>
    </w:p>
    <w:p w14:paraId="745FDBF9" w14:textId="77777777" w:rsidR="00A932C3" w:rsidRDefault="00324E68">
      <w:pPr>
        <w:spacing w:after="159" w:line="259" w:lineRule="auto"/>
        <w:ind w:left="1" w:firstLine="0"/>
      </w:pPr>
      <w:r>
        <w:rPr>
          <w:b/>
        </w:rPr>
        <w:t xml:space="preserve"> </w:t>
      </w:r>
    </w:p>
    <w:p w14:paraId="1C86CCC8" w14:textId="77777777" w:rsidR="00A932C3" w:rsidRDefault="00324E68">
      <w:pPr>
        <w:spacing w:after="160" w:line="259" w:lineRule="auto"/>
        <w:ind w:left="1" w:firstLine="0"/>
      </w:pPr>
      <w:r>
        <w:rPr>
          <w:b/>
        </w:rPr>
        <w:t xml:space="preserve"> </w:t>
      </w:r>
    </w:p>
    <w:p w14:paraId="7A6AC8BA" w14:textId="77777777" w:rsidR="00A932C3" w:rsidRDefault="00324E68">
      <w:pPr>
        <w:spacing w:after="160" w:line="259" w:lineRule="auto"/>
        <w:ind w:left="1" w:firstLine="0"/>
      </w:pPr>
      <w:r>
        <w:rPr>
          <w:b/>
        </w:rPr>
        <w:t xml:space="preserve"> </w:t>
      </w:r>
    </w:p>
    <w:p w14:paraId="6DA390FD" w14:textId="77777777" w:rsidR="00A932C3" w:rsidRDefault="00324E68">
      <w:pPr>
        <w:spacing w:after="159" w:line="259" w:lineRule="auto"/>
        <w:ind w:left="1" w:firstLine="0"/>
      </w:pPr>
      <w:r>
        <w:rPr>
          <w:b/>
        </w:rPr>
        <w:t xml:space="preserve"> </w:t>
      </w:r>
    </w:p>
    <w:p w14:paraId="36FE18D8" w14:textId="77777777" w:rsidR="00A932C3" w:rsidRDefault="00324E68">
      <w:pPr>
        <w:spacing w:after="160" w:line="259" w:lineRule="auto"/>
        <w:ind w:left="1" w:firstLine="0"/>
      </w:pPr>
      <w:r>
        <w:rPr>
          <w:b/>
        </w:rPr>
        <w:t xml:space="preserve"> </w:t>
      </w:r>
    </w:p>
    <w:p w14:paraId="4D0BF5B4" w14:textId="77777777" w:rsidR="00A932C3" w:rsidRDefault="00324E68">
      <w:pPr>
        <w:spacing w:after="159" w:line="259" w:lineRule="auto"/>
        <w:ind w:left="1" w:firstLine="0"/>
      </w:pPr>
      <w:r>
        <w:rPr>
          <w:b/>
        </w:rPr>
        <w:t xml:space="preserve"> </w:t>
      </w:r>
    </w:p>
    <w:p w14:paraId="5EDDCF0F" w14:textId="77777777" w:rsidR="00A932C3" w:rsidRDefault="00324E68">
      <w:pPr>
        <w:spacing w:after="160" w:line="259" w:lineRule="auto"/>
        <w:ind w:left="1" w:firstLine="0"/>
      </w:pPr>
      <w:r>
        <w:rPr>
          <w:b/>
        </w:rPr>
        <w:t xml:space="preserve"> </w:t>
      </w:r>
    </w:p>
    <w:p w14:paraId="7E5D5607" w14:textId="77777777" w:rsidR="00A932C3" w:rsidRDefault="00324E68">
      <w:pPr>
        <w:spacing w:after="159" w:line="259" w:lineRule="auto"/>
        <w:ind w:left="1" w:firstLine="0"/>
      </w:pPr>
      <w:r>
        <w:rPr>
          <w:b/>
        </w:rPr>
        <w:t xml:space="preserve"> </w:t>
      </w:r>
    </w:p>
    <w:p w14:paraId="5DBA33BE" w14:textId="77777777" w:rsidR="00A932C3" w:rsidRDefault="00324E68">
      <w:pPr>
        <w:spacing w:after="160" w:line="259" w:lineRule="auto"/>
        <w:ind w:left="1" w:firstLine="0"/>
      </w:pPr>
      <w:r>
        <w:rPr>
          <w:b/>
        </w:rPr>
        <w:t xml:space="preserve"> </w:t>
      </w:r>
    </w:p>
    <w:p w14:paraId="4B5FDAC3" w14:textId="77777777" w:rsidR="00A932C3" w:rsidRDefault="00324E68">
      <w:pPr>
        <w:spacing w:after="159" w:line="259" w:lineRule="auto"/>
        <w:ind w:left="1" w:firstLine="0"/>
      </w:pPr>
      <w:r>
        <w:rPr>
          <w:b/>
        </w:rPr>
        <w:t xml:space="preserve"> </w:t>
      </w:r>
    </w:p>
    <w:p w14:paraId="37584368" w14:textId="77777777" w:rsidR="00A932C3" w:rsidRDefault="00324E68">
      <w:pPr>
        <w:spacing w:after="160" w:line="259" w:lineRule="auto"/>
        <w:ind w:left="1" w:firstLine="0"/>
      </w:pPr>
      <w:r>
        <w:rPr>
          <w:b/>
        </w:rPr>
        <w:t xml:space="preserve"> </w:t>
      </w:r>
    </w:p>
    <w:p w14:paraId="501EBB15" w14:textId="77777777" w:rsidR="00A932C3" w:rsidRDefault="00324E68">
      <w:pPr>
        <w:spacing w:after="429" w:line="259" w:lineRule="auto"/>
        <w:ind w:left="1" w:firstLine="0"/>
      </w:pPr>
      <w:r>
        <w:rPr>
          <w:b/>
        </w:rPr>
        <w:t xml:space="preserve"> </w:t>
      </w:r>
    </w:p>
    <w:p w14:paraId="45FBE75A"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49291D34" wp14:editId="495221AA">
                <wp:extent cx="1828800" cy="6858"/>
                <wp:effectExtent l="0" t="0" r="0" b="0"/>
                <wp:docPr id="50775" name="Group 50775"/>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679" name="Shape 57679"/>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775" style="width:144pt;height:0.539978pt;mso-position-horizontal-relative:char;mso-position-vertical-relative:line" coordsize="18288,68">
                <v:shape id="Shape 57680"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6BE72F8D" w14:textId="77777777" w:rsidR="00A932C3" w:rsidRDefault="00324E68">
      <w:pPr>
        <w:spacing w:after="126" w:line="289" w:lineRule="auto"/>
        <w:ind w:left="-4"/>
      </w:pPr>
      <w:r>
        <w:rPr>
          <w:b/>
        </w:rPr>
        <w:t xml:space="preserve">Flowchart 1: actions taken by a school or college when there are concerns about a child </w:t>
      </w:r>
    </w:p>
    <w:p w14:paraId="1F18157B" w14:textId="77777777" w:rsidR="00A932C3" w:rsidRDefault="00324E68">
      <w:pPr>
        <w:spacing w:after="627" w:line="259" w:lineRule="auto"/>
        <w:ind w:left="1" w:firstLine="0"/>
      </w:pPr>
      <w:r>
        <w:rPr>
          <w:b/>
          <w:sz w:val="20"/>
        </w:rPr>
        <w:t xml:space="preserve"> </w:t>
      </w:r>
    </w:p>
    <w:p w14:paraId="79FCE0D4" w14:textId="77777777" w:rsidR="00A932C3" w:rsidRDefault="00324E68">
      <w:pPr>
        <w:spacing w:after="0" w:line="273" w:lineRule="auto"/>
        <w:ind w:left="493" w:right="871" w:firstLine="0"/>
        <w:jc w:val="center"/>
      </w:pPr>
      <w:r>
        <w:rPr>
          <w:b/>
          <w:sz w:val="26"/>
        </w:rPr>
        <w:t>School or college staff take immediate action</w:t>
      </w:r>
      <w:r>
        <w:rPr>
          <w:sz w:val="26"/>
        </w:rPr>
        <w:t xml:space="preserve">. They follow their setting’s child protection policy and speak to the </w:t>
      </w:r>
      <w:r>
        <w:rPr>
          <w:b/>
          <w:sz w:val="26"/>
        </w:rPr>
        <w:t>designated safeguarding lead</w:t>
      </w:r>
      <w:r>
        <w:rPr>
          <w:sz w:val="26"/>
        </w:rPr>
        <w:t xml:space="preserve">. </w:t>
      </w:r>
    </w:p>
    <w:p w14:paraId="754A1A5A" w14:textId="77777777" w:rsidR="00A932C3" w:rsidRDefault="00324E68">
      <w:pPr>
        <w:spacing w:after="1004" w:line="255" w:lineRule="auto"/>
        <w:ind w:left="1176" w:right="1558" w:firstLine="0"/>
        <w:jc w:val="center"/>
      </w:pPr>
      <w:r>
        <w:rPr>
          <w:sz w:val="26"/>
        </w:rPr>
        <w:t xml:space="preserve">Part four of this guidance sets out the </w:t>
      </w:r>
      <w:r>
        <w:rPr>
          <w:b/>
          <w:sz w:val="26"/>
        </w:rPr>
        <w:t>actions to take if a case also involves a concern about a member of staff</w:t>
      </w:r>
      <w:r>
        <w:rPr>
          <w:sz w:val="26"/>
        </w:rPr>
        <w:t>.</w:t>
      </w:r>
    </w:p>
    <w:p w14:paraId="36E1D9EB" w14:textId="77777777" w:rsidR="00A932C3" w:rsidRDefault="00324E68">
      <w:pPr>
        <w:spacing w:after="13" w:line="269" w:lineRule="auto"/>
        <w:ind w:left="722" w:hanging="684"/>
      </w:pPr>
      <w:r>
        <w:rPr>
          <w:color w:val="0D0D0D"/>
          <w:sz w:val="26"/>
        </w:rPr>
        <w:t xml:space="preserve">The </w:t>
      </w:r>
      <w:r>
        <w:rPr>
          <w:b/>
          <w:color w:val="0D0D0D"/>
          <w:sz w:val="26"/>
        </w:rPr>
        <w:t xml:space="preserve">designated safeguarding lead </w:t>
      </w:r>
      <w:r>
        <w:rPr>
          <w:b/>
          <w:color w:val="0D0D0D"/>
          <w:sz w:val="26"/>
        </w:rPr>
        <w:tab/>
      </w:r>
      <w:r>
        <w:rPr>
          <w:color w:val="0D0D0D"/>
          <w:sz w:val="26"/>
        </w:rPr>
        <w:t xml:space="preserve">The </w:t>
      </w:r>
      <w:r>
        <w:rPr>
          <w:b/>
          <w:color w:val="0D0D0D"/>
          <w:sz w:val="26"/>
        </w:rPr>
        <w:t xml:space="preserve">designated safeguarding lead </w:t>
      </w:r>
      <w:r>
        <w:rPr>
          <w:color w:val="0D0D0D"/>
          <w:sz w:val="26"/>
        </w:rPr>
        <w:t xml:space="preserve">decides a </w:t>
      </w:r>
      <w:r>
        <w:rPr>
          <w:b/>
          <w:color w:val="0D0D0D"/>
          <w:sz w:val="26"/>
        </w:rPr>
        <w:t xml:space="preserve">referral is not </w:t>
      </w:r>
      <w:r>
        <w:rPr>
          <w:b/>
          <w:color w:val="0D0D0D"/>
          <w:sz w:val="26"/>
        </w:rPr>
        <w:tab/>
      </w:r>
      <w:r>
        <w:rPr>
          <w:color w:val="0D0D0D"/>
          <w:sz w:val="26"/>
        </w:rPr>
        <w:t xml:space="preserve">decides a </w:t>
      </w:r>
      <w:r>
        <w:rPr>
          <w:b/>
          <w:color w:val="0D0D0D"/>
          <w:sz w:val="26"/>
        </w:rPr>
        <w:t xml:space="preserve">referral is needed to </w:t>
      </w:r>
    </w:p>
    <w:p w14:paraId="1171E384" w14:textId="77777777" w:rsidR="00A932C3" w:rsidRDefault="00324E68">
      <w:pPr>
        <w:tabs>
          <w:tab w:val="center" w:pos="7993"/>
        </w:tabs>
        <w:spacing w:after="13" w:line="269" w:lineRule="auto"/>
        <w:ind w:left="0" w:firstLine="0"/>
      </w:pPr>
      <w:r>
        <w:rPr>
          <w:b/>
          <w:color w:val="0D0D0D"/>
          <w:sz w:val="26"/>
        </w:rPr>
        <w:t>needed to children’s social care</w:t>
      </w:r>
      <w:r>
        <w:rPr>
          <w:color w:val="0D0D0D"/>
          <w:sz w:val="26"/>
        </w:rPr>
        <w:t xml:space="preserve">. </w:t>
      </w:r>
      <w:r>
        <w:rPr>
          <w:color w:val="0D0D0D"/>
          <w:sz w:val="26"/>
        </w:rPr>
        <w:tab/>
      </w:r>
      <w:r>
        <w:rPr>
          <w:b/>
          <w:color w:val="0D0D0D"/>
          <w:sz w:val="26"/>
        </w:rPr>
        <w:t xml:space="preserve">children’s social care </w:t>
      </w:r>
      <w:r>
        <w:rPr>
          <w:color w:val="0D0D0D"/>
          <w:sz w:val="26"/>
        </w:rPr>
        <w:t xml:space="preserve">(and calls the </w:t>
      </w:r>
    </w:p>
    <w:p w14:paraId="5931FBF2" w14:textId="77777777" w:rsidR="00A932C3" w:rsidRDefault="00324E68">
      <w:pPr>
        <w:spacing w:after="15" w:line="266" w:lineRule="auto"/>
        <w:ind w:left="852" w:right="551" w:hanging="539"/>
      </w:pPr>
      <w:r>
        <w:rPr>
          <w:color w:val="0D0D0D"/>
          <w:sz w:val="26"/>
        </w:rPr>
        <w:t xml:space="preserve">The school or college considers </w:t>
      </w:r>
      <w:r>
        <w:rPr>
          <w:color w:val="0D0D0D"/>
          <w:sz w:val="26"/>
        </w:rPr>
        <w:tab/>
        <w:t xml:space="preserve">police, if appropriate). They follow </w:t>
      </w:r>
      <w:r>
        <w:rPr>
          <w:b/>
          <w:color w:val="0D0D0D"/>
          <w:sz w:val="26"/>
        </w:rPr>
        <w:t xml:space="preserve">pastoral support or a </w:t>
      </w:r>
      <w:r>
        <w:rPr>
          <w:b/>
          <w:color w:val="0D0D0D"/>
          <w:sz w:val="26"/>
        </w:rPr>
        <w:tab/>
      </w:r>
      <w:r>
        <w:rPr>
          <w:color w:val="0D0D0D"/>
          <w:sz w:val="26"/>
        </w:rPr>
        <w:t xml:space="preserve">the </w:t>
      </w:r>
      <w:r>
        <w:rPr>
          <w:b/>
          <w:color w:val="0D0D0D"/>
          <w:sz w:val="26"/>
        </w:rPr>
        <w:t xml:space="preserve">referral process </w:t>
      </w:r>
      <w:r>
        <w:rPr>
          <w:color w:val="0D0D0D"/>
          <w:sz w:val="26"/>
        </w:rPr>
        <w:t xml:space="preserve">set out in the </w:t>
      </w:r>
    </w:p>
    <w:p w14:paraId="6D9B4735" w14:textId="77777777" w:rsidR="00A932C3" w:rsidRDefault="00324E68">
      <w:pPr>
        <w:spacing w:after="15" w:line="266" w:lineRule="auto"/>
        <w:ind w:left="313" w:right="551" w:firstLine="80"/>
      </w:pPr>
      <w:r>
        <w:rPr>
          <w:b/>
          <w:color w:val="0D0D0D"/>
          <w:sz w:val="26"/>
        </w:rPr>
        <w:t xml:space="preserve">Family Help assessment </w:t>
      </w:r>
      <w:r>
        <w:rPr>
          <w:color w:val="0D0D0D"/>
          <w:sz w:val="26"/>
        </w:rPr>
        <w:t xml:space="preserve">and </w:t>
      </w:r>
      <w:r>
        <w:rPr>
          <w:color w:val="0D0D0D"/>
          <w:sz w:val="26"/>
        </w:rPr>
        <w:tab/>
        <w:t xml:space="preserve">local threshold document and </w:t>
      </w:r>
      <w:r>
        <w:rPr>
          <w:b/>
          <w:color w:val="0D0D0D"/>
          <w:sz w:val="26"/>
        </w:rPr>
        <w:t>monitors the situation locally</w:t>
      </w:r>
      <w:r>
        <w:rPr>
          <w:color w:val="0D0D0D"/>
          <w:sz w:val="26"/>
        </w:rPr>
        <w:t xml:space="preserve">. </w:t>
      </w:r>
      <w:r>
        <w:rPr>
          <w:color w:val="0D0D0D"/>
          <w:sz w:val="26"/>
        </w:rPr>
        <w:tab/>
        <w:t xml:space="preserve">protocol for assessment. </w:t>
      </w:r>
    </w:p>
    <w:p w14:paraId="7907A35A" w14:textId="77777777" w:rsidR="00A932C3" w:rsidRDefault="00324E68">
      <w:pPr>
        <w:spacing w:after="1370" w:line="266" w:lineRule="auto"/>
        <w:ind w:left="560" w:right="551" w:hanging="247"/>
      </w:pPr>
      <w:r>
        <w:rPr>
          <w:color w:val="0D0D0D"/>
          <w:sz w:val="26"/>
        </w:rPr>
        <w:t xml:space="preserve">If concerns escalate, the school </w:t>
      </w:r>
      <w:r>
        <w:rPr>
          <w:color w:val="0D0D0D"/>
          <w:sz w:val="26"/>
        </w:rPr>
        <w:tab/>
      </w:r>
      <w:r>
        <w:rPr>
          <w:color w:val="467886"/>
          <w:sz w:val="26"/>
          <w:u w:val="single" w:color="467886"/>
        </w:rPr>
        <w:t xml:space="preserve">Working together to safeguard </w:t>
      </w:r>
      <w:r>
        <w:rPr>
          <w:color w:val="0D0D0D"/>
          <w:sz w:val="26"/>
        </w:rPr>
        <w:t>or college makes a referral.</w:t>
      </w:r>
      <w:r>
        <w:rPr>
          <w:color w:val="0D0D0D"/>
          <w:sz w:val="26"/>
        </w:rPr>
        <w:tab/>
      </w:r>
      <w:r>
        <w:rPr>
          <w:color w:val="467886"/>
          <w:sz w:val="26"/>
          <w:u w:val="single" w:color="467886"/>
        </w:rPr>
        <w:t xml:space="preserve">children </w:t>
      </w:r>
      <w:r>
        <w:rPr>
          <w:color w:val="0D0D0D"/>
          <w:sz w:val="26"/>
        </w:rPr>
        <w:t>has more information.</w:t>
      </w:r>
    </w:p>
    <w:p w14:paraId="3512B180" w14:textId="77777777" w:rsidR="00A932C3" w:rsidRDefault="00324E68">
      <w:pPr>
        <w:spacing w:after="15" w:line="266" w:lineRule="auto"/>
        <w:ind w:left="234" w:right="551" w:firstLine="450"/>
      </w:pPr>
      <w:r>
        <w:rPr>
          <w:color w:val="0D0D0D"/>
          <w:sz w:val="26"/>
        </w:rPr>
        <w:t xml:space="preserve">At all stages, </w:t>
      </w:r>
      <w:r>
        <w:rPr>
          <w:b/>
          <w:color w:val="0D0D0D"/>
          <w:sz w:val="26"/>
        </w:rPr>
        <w:t xml:space="preserve">staff </w:t>
      </w:r>
      <w:r>
        <w:rPr>
          <w:color w:val="0D0D0D"/>
          <w:sz w:val="26"/>
        </w:rPr>
        <w:t xml:space="preserve">should </w:t>
      </w:r>
      <w:r>
        <w:rPr>
          <w:color w:val="0D0D0D"/>
          <w:sz w:val="26"/>
        </w:rPr>
        <w:tab/>
        <w:t xml:space="preserve">Within </w:t>
      </w:r>
      <w:r>
        <w:rPr>
          <w:b/>
          <w:color w:val="0D0D0D"/>
          <w:sz w:val="26"/>
        </w:rPr>
        <w:t xml:space="preserve">one working day keep the child’s circumstances </w:t>
      </w:r>
      <w:r>
        <w:rPr>
          <w:b/>
          <w:color w:val="0D0D0D"/>
          <w:sz w:val="26"/>
        </w:rPr>
        <w:tab/>
      </w:r>
      <w:r>
        <w:rPr>
          <w:color w:val="0D0D0D"/>
          <w:sz w:val="26"/>
        </w:rPr>
        <w:t xml:space="preserve">of receiving a referral from a </w:t>
      </w:r>
      <w:r>
        <w:rPr>
          <w:b/>
          <w:color w:val="0D0D0D"/>
          <w:sz w:val="26"/>
        </w:rPr>
        <w:t xml:space="preserve">under review </w:t>
      </w:r>
      <w:r>
        <w:rPr>
          <w:color w:val="0D0D0D"/>
          <w:sz w:val="26"/>
        </w:rPr>
        <w:t xml:space="preserve">(involving the </w:t>
      </w:r>
      <w:r>
        <w:rPr>
          <w:color w:val="0D0D0D"/>
          <w:sz w:val="26"/>
        </w:rPr>
        <w:tab/>
        <w:t xml:space="preserve">school or college, </w:t>
      </w:r>
      <w:r>
        <w:rPr>
          <w:b/>
          <w:color w:val="0D0D0D"/>
          <w:sz w:val="26"/>
        </w:rPr>
        <w:t xml:space="preserve">children’s social </w:t>
      </w:r>
    </w:p>
    <w:p w14:paraId="29305471" w14:textId="77777777" w:rsidR="00A932C3" w:rsidRDefault="00324E68">
      <w:pPr>
        <w:spacing w:after="15" w:line="266" w:lineRule="auto"/>
        <w:ind w:left="560" w:right="551" w:hanging="109"/>
      </w:pPr>
      <w:r>
        <w:rPr>
          <w:color w:val="0D0D0D"/>
          <w:sz w:val="26"/>
        </w:rPr>
        <w:t xml:space="preserve">designated safeguarding lead </w:t>
      </w:r>
      <w:r>
        <w:rPr>
          <w:color w:val="0D0D0D"/>
          <w:sz w:val="26"/>
        </w:rPr>
        <w:tab/>
      </w:r>
      <w:r>
        <w:rPr>
          <w:b/>
          <w:color w:val="0D0D0D"/>
          <w:sz w:val="26"/>
        </w:rPr>
        <w:t xml:space="preserve">care decides the type of response </w:t>
      </w:r>
      <w:r>
        <w:rPr>
          <w:color w:val="0D0D0D"/>
          <w:sz w:val="26"/>
        </w:rPr>
        <w:t xml:space="preserve">or their deputy, as required) </w:t>
      </w:r>
      <w:r>
        <w:rPr>
          <w:color w:val="0D0D0D"/>
          <w:sz w:val="26"/>
        </w:rPr>
        <w:tab/>
      </w:r>
      <w:r>
        <w:rPr>
          <w:b/>
          <w:color w:val="0D0D0D"/>
          <w:sz w:val="26"/>
        </w:rPr>
        <w:t xml:space="preserve">required </w:t>
      </w:r>
      <w:r>
        <w:rPr>
          <w:color w:val="0D0D0D"/>
          <w:sz w:val="26"/>
        </w:rPr>
        <w:t xml:space="preserve">and informs the </w:t>
      </w:r>
    </w:p>
    <w:p w14:paraId="3E243DD4" w14:textId="77777777" w:rsidR="00A932C3" w:rsidRDefault="00324E68">
      <w:pPr>
        <w:tabs>
          <w:tab w:val="center" w:pos="2162"/>
          <w:tab w:val="center" w:pos="7988"/>
        </w:tabs>
        <w:spacing w:after="23" w:line="259" w:lineRule="auto"/>
        <w:ind w:left="0" w:firstLine="0"/>
      </w:pPr>
      <w:r>
        <w:rPr>
          <w:rFonts w:ascii="Calibri" w:eastAsia="Calibri" w:hAnsi="Calibri" w:cs="Calibri"/>
          <w:sz w:val="22"/>
        </w:rPr>
        <w:tab/>
      </w:r>
      <w:r>
        <w:rPr>
          <w:color w:val="0D0D0D"/>
          <w:sz w:val="26"/>
        </w:rPr>
        <w:t xml:space="preserve">and </w:t>
      </w:r>
      <w:r>
        <w:rPr>
          <w:b/>
          <w:color w:val="0D0D0D"/>
          <w:sz w:val="26"/>
        </w:rPr>
        <w:t>re-refer if appropriate</w:t>
      </w:r>
      <w:r>
        <w:rPr>
          <w:color w:val="0D0D0D"/>
          <w:sz w:val="26"/>
        </w:rPr>
        <w:t xml:space="preserve">. </w:t>
      </w:r>
      <w:r>
        <w:rPr>
          <w:color w:val="0D0D0D"/>
          <w:sz w:val="26"/>
        </w:rPr>
        <w:tab/>
        <w:t xml:space="preserve">referring school or college. </w:t>
      </w:r>
    </w:p>
    <w:p w14:paraId="0F64D27F" w14:textId="77777777" w:rsidR="00A932C3" w:rsidRDefault="00324E68">
      <w:pPr>
        <w:spacing w:after="1367" w:line="269" w:lineRule="auto"/>
        <w:ind w:left="596" w:right="804" w:firstLine="51"/>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EE2656D" wp14:editId="7E59EB4C">
                <wp:simplePos x="0" y="0"/>
                <wp:positionH relativeFrom="column">
                  <wp:posOffset>-122505</wp:posOffset>
                </wp:positionH>
                <wp:positionV relativeFrom="paragraph">
                  <wp:posOffset>-5383230</wp:posOffset>
                </wp:positionV>
                <wp:extent cx="6726758" cy="7859958"/>
                <wp:effectExtent l="0" t="0" r="0" b="0"/>
                <wp:wrapNone/>
                <wp:docPr id="51318" name="Group 51318"/>
                <wp:cNvGraphicFramePr/>
                <a:graphic xmlns:a="http://schemas.openxmlformats.org/drawingml/2006/main">
                  <a:graphicData uri="http://schemas.microsoft.com/office/word/2010/wordprocessingGroup">
                    <wpg:wgp>
                      <wpg:cNvGrpSpPr/>
                      <wpg:grpSpPr>
                        <a:xfrm>
                          <a:off x="0" y="0"/>
                          <a:ext cx="6726758" cy="7859958"/>
                          <a:chOff x="0" y="0"/>
                          <a:chExt cx="6726758" cy="7859958"/>
                        </a:xfrm>
                      </wpg:grpSpPr>
                      <wps:wsp>
                        <wps:cNvPr id="2793" name="Shape 2793"/>
                        <wps:cNvSpPr/>
                        <wps:spPr>
                          <a:xfrm>
                            <a:off x="5136482" y="6300825"/>
                            <a:ext cx="110505" cy="470549"/>
                          </a:xfrm>
                          <a:custGeom>
                            <a:avLst/>
                            <a:gdLst/>
                            <a:ahLst/>
                            <a:cxnLst/>
                            <a:rect l="0" t="0" r="0" b="0"/>
                            <a:pathLst>
                              <a:path w="110505" h="470549">
                                <a:moveTo>
                                  <a:pt x="46055" y="0"/>
                                </a:moveTo>
                                <a:lnTo>
                                  <a:pt x="64459" y="0"/>
                                </a:lnTo>
                                <a:lnTo>
                                  <a:pt x="64459" y="360043"/>
                                </a:lnTo>
                                <a:lnTo>
                                  <a:pt x="110505" y="360043"/>
                                </a:lnTo>
                                <a:lnTo>
                                  <a:pt x="55252" y="470549"/>
                                </a:lnTo>
                                <a:lnTo>
                                  <a:pt x="0" y="360043"/>
                                </a:lnTo>
                                <a:lnTo>
                                  <a:pt x="46055" y="360043"/>
                                </a:lnTo>
                                <a:lnTo>
                                  <a:pt x="46055"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2794" name="Shape 2794"/>
                        <wps:cNvSpPr/>
                        <wps:spPr>
                          <a:xfrm>
                            <a:off x="5149501" y="3375443"/>
                            <a:ext cx="110505" cy="615335"/>
                          </a:xfrm>
                          <a:custGeom>
                            <a:avLst/>
                            <a:gdLst/>
                            <a:ahLst/>
                            <a:cxnLst/>
                            <a:rect l="0" t="0" r="0" b="0"/>
                            <a:pathLst>
                              <a:path w="110505" h="615335">
                                <a:moveTo>
                                  <a:pt x="45086" y="0"/>
                                </a:moveTo>
                                <a:lnTo>
                                  <a:pt x="63490" y="0"/>
                                </a:lnTo>
                                <a:lnTo>
                                  <a:pt x="64463" y="504793"/>
                                </a:lnTo>
                                <a:lnTo>
                                  <a:pt x="110505" y="504709"/>
                                </a:lnTo>
                                <a:lnTo>
                                  <a:pt x="55457" y="615335"/>
                                </a:lnTo>
                                <a:lnTo>
                                  <a:pt x="0" y="504910"/>
                                </a:lnTo>
                                <a:lnTo>
                                  <a:pt x="46019" y="504825"/>
                                </a:lnTo>
                                <a:lnTo>
                                  <a:pt x="45086"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2795" name="Shape 2795"/>
                        <wps:cNvSpPr/>
                        <wps:spPr>
                          <a:xfrm>
                            <a:off x="1407434" y="3415627"/>
                            <a:ext cx="110505" cy="573503"/>
                          </a:xfrm>
                          <a:custGeom>
                            <a:avLst/>
                            <a:gdLst/>
                            <a:ahLst/>
                            <a:cxnLst/>
                            <a:rect l="0" t="0" r="0" b="0"/>
                            <a:pathLst>
                              <a:path w="110505" h="573503">
                                <a:moveTo>
                                  <a:pt x="46055" y="0"/>
                                </a:moveTo>
                                <a:lnTo>
                                  <a:pt x="64455" y="0"/>
                                </a:lnTo>
                                <a:lnTo>
                                  <a:pt x="64455" y="462998"/>
                                </a:lnTo>
                                <a:lnTo>
                                  <a:pt x="110505" y="462998"/>
                                </a:lnTo>
                                <a:lnTo>
                                  <a:pt x="55253" y="573503"/>
                                </a:lnTo>
                                <a:lnTo>
                                  <a:pt x="0" y="462998"/>
                                </a:lnTo>
                                <a:lnTo>
                                  <a:pt x="46055" y="462998"/>
                                </a:lnTo>
                                <a:lnTo>
                                  <a:pt x="46055"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2796" name="Shape 2796"/>
                        <wps:cNvSpPr/>
                        <wps:spPr>
                          <a:xfrm>
                            <a:off x="5112375" y="924231"/>
                            <a:ext cx="110505" cy="430296"/>
                          </a:xfrm>
                          <a:custGeom>
                            <a:avLst/>
                            <a:gdLst/>
                            <a:ahLst/>
                            <a:cxnLst/>
                            <a:rect l="0" t="0" r="0" b="0"/>
                            <a:pathLst>
                              <a:path w="110505" h="430296">
                                <a:moveTo>
                                  <a:pt x="46051" y="0"/>
                                </a:moveTo>
                                <a:lnTo>
                                  <a:pt x="64455" y="0"/>
                                </a:lnTo>
                                <a:lnTo>
                                  <a:pt x="64455" y="319791"/>
                                </a:lnTo>
                                <a:lnTo>
                                  <a:pt x="110505" y="319791"/>
                                </a:lnTo>
                                <a:lnTo>
                                  <a:pt x="55249" y="430296"/>
                                </a:lnTo>
                                <a:lnTo>
                                  <a:pt x="0" y="319791"/>
                                </a:lnTo>
                                <a:lnTo>
                                  <a:pt x="46051" y="319791"/>
                                </a:lnTo>
                                <a:lnTo>
                                  <a:pt x="46051"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2797" name="Shape 2797"/>
                        <wps:cNvSpPr/>
                        <wps:spPr>
                          <a:xfrm>
                            <a:off x="1411452" y="940305"/>
                            <a:ext cx="110505" cy="427491"/>
                          </a:xfrm>
                          <a:custGeom>
                            <a:avLst/>
                            <a:gdLst/>
                            <a:ahLst/>
                            <a:cxnLst/>
                            <a:rect l="0" t="0" r="0" b="0"/>
                            <a:pathLst>
                              <a:path w="110505" h="427491">
                                <a:moveTo>
                                  <a:pt x="46055" y="0"/>
                                </a:moveTo>
                                <a:lnTo>
                                  <a:pt x="64459" y="0"/>
                                </a:lnTo>
                                <a:lnTo>
                                  <a:pt x="64459" y="316986"/>
                                </a:lnTo>
                                <a:lnTo>
                                  <a:pt x="110505" y="316986"/>
                                </a:lnTo>
                                <a:lnTo>
                                  <a:pt x="55253" y="427491"/>
                                </a:lnTo>
                                <a:lnTo>
                                  <a:pt x="0" y="316986"/>
                                </a:lnTo>
                                <a:lnTo>
                                  <a:pt x="46055" y="316986"/>
                                </a:lnTo>
                                <a:lnTo>
                                  <a:pt x="46055"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2799" name="Shape 2799"/>
                        <wps:cNvSpPr/>
                        <wps:spPr>
                          <a:xfrm>
                            <a:off x="3680829" y="6787051"/>
                            <a:ext cx="3041907" cy="1072907"/>
                          </a:xfrm>
                          <a:custGeom>
                            <a:avLst/>
                            <a:gdLst/>
                            <a:ahLst/>
                            <a:cxnLst/>
                            <a:rect l="0" t="0" r="0" b="0"/>
                            <a:pathLst>
                              <a:path w="3041907" h="1072907">
                                <a:moveTo>
                                  <a:pt x="0" y="0"/>
                                </a:moveTo>
                                <a:lnTo>
                                  <a:pt x="3041907" y="0"/>
                                </a:lnTo>
                                <a:lnTo>
                                  <a:pt x="3041907" y="1072907"/>
                                </a:lnTo>
                                <a:lnTo>
                                  <a:pt x="0" y="1072907"/>
                                </a:lnTo>
                                <a:close/>
                              </a:path>
                            </a:pathLst>
                          </a:custGeom>
                          <a:ln w="27626" cap="flat">
                            <a:miter lim="101600"/>
                          </a:ln>
                        </wps:spPr>
                        <wps:style>
                          <a:lnRef idx="1">
                            <a:srgbClr val="1F497D"/>
                          </a:lnRef>
                          <a:fillRef idx="0">
                            <a:srgbClr val="000000">
                              <a:alpha val="0"/>
                            </a:srgbClr>
                          </a:fillRef>
                          <a:effectRef idx="0">
                            <a:scrgbClr r="0" g="0" b="0"/>
                          </a:effectRef>
                          <a:fontRef idx="none"/>
                        </wps:style>
                        <wps:bodyPr/>
                      </wps:wsp>
                      <wps:wsp>
                        <wps:cNvPr id="2808" name="Shape 2808"/>
                        <wps:cNvSpPr/>
                        <wps:spPr>
                          <a:xfrm>
                            <a:off x="3680829" y="4006329"/>
                            <a:ext cx="3045926" cy="2274402"/>
                          </a:xfrm>
                          <a:custGeom>
                            <a:avLst/>
                            <a:gdLst/>
                            <a:ahLst/>
                            <a:cxnLst/>
                            <a:rect l="0" t="0" r="0" b="0"/>
                            <a:pathLst>
                              <a:path w="3045926" h="2274402">
                                <a:moveTo>
                                  <a:pt x="0" y="0"/>
                                </a:moveTo>
                                <a:lnTo>
                                  <a:pt x="3045926" y="0"/>
                                </a:lnTo>
                                <a:lnTo>
                                  <a:pt x="3045926" y="2274402"/>
                                </a:lnTo>
                                <a:lnTo>
                                  <a:pt x="0" y="2274402"/>
                                </a:lnTo>
                                <a:close/>
                              </a:path>
                            </a:pathLst>
                          </a:custGeom>
                          <a:ln w="27626" cap="flat">
                            <a:miter lim="101600"/>
                          </a:ln>
                        </wps:spPr>
                        <wps:style>
                          <a:lnRef idx="1">
                            <a:srgbClr val="1F497D"/>
                          </a:lnRef>
                          <a:fillRef idx="0">
                            <a:srgbClr val="000000">
                              <a:alpha val="0"/>
                            </a:srgbClr>
                          </a:fillRef>
                          <a:effectRef idx="0">
                            <a:scrgbClr r="0" g="0" b="0"/>
                          </a:effectRef>
                          <a:fontRef idx="none"/>
                        </wps:style>
                        <wps:bodyPr/>
                      </wps:wsp>
                      <wps:wsp>
                        <wps:cNvPr id="2830" name="Shape 2830"/>
                        <wps:cNvSpPr/>
                        <wps:spPr>
                          <a:xfrm>
                            <a:off x="0" y="4006329"/>
                            <a:ext cx="2993687" cy="2278421"/>
                          </a:xfrm>
                          <a:custGeom>
                            <a:avLst/>
                            <a:gdLst/>
                            <a:ahLst/>
                            <a:cxnLst/>
                            <a:rect l="0" t="0" r="0" b="0"/>
                            <a:pathLst>
                              <a:path w="2993687" h="2278421">
                                <a:moveTo>
                                  <a:pt x="0" y="0"/>
                                </a:moveTo>
                                <a:lnTo>
                                  <a:pt x="2993687" y="0"/>
                                </a:lnTo>
                                <a:lnTo>
                                  <a:pt x="2993687" y="2278421"/>
                                </a:lnTo>
                                <a:lnTo>
                                  <a:pt x="0" y="2278421"/>
                                </a:lnTo>
                                <a:close/>
                              </a:path>
                            </a:pathLst>
                          </a:custGeom>
                          <a:ln w="27626" cap="flat">
                            <a:miter lim="101600"/>
                          </a:ln>
                        </wps:spPr>
                        <wps:style>
                          <a:lnRef idx="1">
                            <a:srgbClr val="1F497D"/>
                          </a:lnRef>
                          <a:fillRef idx="0">
                            <a:srgbClr val="000000">
                              <a:alpha val="0"/>
                            </a:srgbClr>
                          </a:fillRef>
                          <a:effectRef idx="0">
                            <a:scrgbClr r="0" g="0" b="0"/>
                          </a:effectRef>
                          <a:fontRef idx="none"/>
                        </wps:style>
                        <wps:bodyPr/>
                      </wps:wsp>
                      <wps:wsp>
                        <wps:cNvPr id="57681" name="Shape 57681"/>
                        <wps:cNvSpPr/>
                        <wps:spPr>
                          <a:xfrm>
                            <a:off x="3680829" y="1366249"/>
                            <a:ext cx="3045930" cy="2053391"/>
                          </a:xfrm>
                          <a:custGeom>
                            <a:avLst/>
                            <a:gdLst/>
                            <a:ahLst/>
                            <a:cxnLst/>
                            <a:rect l="0" t="0" r="0" b="0"/>
                            <a:pathLst>
                              <a:path w="3045930" h="2053391">
                                <a:moveTo>
                                  <a:pt x="0" y="0"/>
                                </a:moveTo>
                                <a:lnTo>
                                  <a:pt x="3045930" y="0"/>
                                </a:lnTo>
                                <a:lnTo>
                                  <a:pt x="3045930" y="2053391"/>
                                </a:lnTo>
                                <a:lnTo>
                                  <a:pt x="0" y="205339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62" name="Shape 2862"/>
                        <wps:cNvSpPr/>
                        <wps:spPr>
                          <a:xfrm>
                            <a:off x="3680829" y="1366254"/>
                            <a:ext cx="3045926" cy="2053392"/>
                          </a:xfrm>
                          <a:custGeom>
                            <a:avLst/>
                            <a:gdLst/>
                            <a:ahLst/>
                            <a:cxnLst/>
                            <a:rect l="0" t="0" r="0" b="0"/>
                            <a:pathLst>
                              <a:path w="3045926" h="2053392">
                                <a:moveTo>
                                  <a:pt x="0" y="0"/>
                                </a:moveTo>
                                <a:lnTo>
                                  <a:pt x="3045926" y="0"/>
                                </a:lnTo>
                                <a:lnTo>
                                  <a:pt x="3045926" y="2053392"/>
                                </a:lnTo>
                                <a:lnTo>
                                  <a:pt x="0" y="2053392"/>
                                </a:lnTo>
                                <a:close/>
                              </a:path>
                            </a:pathLst>
                          </a:custGeom>
                          <a:ln w="27626" cap="flat">
                            <a:miter lim="101600"/>
                          </a:ln>
                        </wps:spPr>
                        <wps:style>
                          <a:lnRef idx="1">
                            <a:srgbClr val="1F497D"/>
                          </a:lnRef>
                          <a:fillRef idx="0">
                            <a:srgbClr val="000000">
                              <a:alpha val="0"/>
                            </a:srgbClr>
                          </a:fillRef>
                          <a:effectRef idx="0">
                            <a:scrgbClr r="0" g="0" b="0"/>
                          </a:effectRef>
                          <a:fontRef idx="none"/>
                        </wps:style>
                        <wps:bodyPr/>
                      </wps:wsp>
                      <wps:wsp>
                        <wps:cNvPr id="2890" name="Shape 2890"/>
                        <wps:cNvSpPr/>
                        <wps:spPr>
                          <a:xfrm>
                            <a:off x="0" y="1382327"/>
                            <a:ext cx="2985650" cy="2021245"/>
                          </a:xfrm>
                          <a:custGeom>
                            <a:avLst/>
                            <a:gdLst/>
                            <a:ahLst/>
                            <a:cxnLst/>
                            <a:rect l="0" t="0" r="0" b="0"/>
                            <a:pathLst>
                              <a:path w="2985650" h="2021245">
                                <a:moveTo>
                                  <a:pt x="0" y="0"/>
                                </a:moveTo>
                                <a:lnTo>
                                  <a:pt x="2985650" y="0"/>
                                </a:lnTo>
                                <a:lnTo>
                                  <a:pt x="2985650" y="2021245"/>
                                </a:lnTo>
                                <a:lnTo>
                                  <a:pt x="0" y="2021245"/>
                                </a:lnTo>
                                <a:close/>
                              </a:path>
                            </a:pathLst>
                          </a:custGeom>
                          <a:ln w="27626" cap="flat">
                            <a:miter lim="101600"/>
                          </a:ln>
                        </wps:spPr>
                        <wps:style>
                          <a:lnRef idx="1">
                            <a:srgbClr val="1F497D"/>
                          </a:lnRef>
                          <a:fillRef idx="0">
                            <a:srgbClr val="000000">
                              <a:alpha val="0"/>
                            </a:srgbClr>
                          </a:fillRef>
                          <a:effectRef idx="0">
                            <a:scrgbClr r="0" g="0" b="0"/>
                          </a:effectRef>
                          <a:fontRef idx="none"/>
                        </wps:style>
                        <wps:bodyPr/>
                      </wps:wsp>
                      <wps:wsp>
                        <wps:cNvPr id="57682" name="Shape 57682"/>
                        <wps:cNvSpPr/>
                        <wps:spPr>
                          <a:xfrm>
                            <a:off x="0" y="0"/>
                            <a:ext cx="6722732" cy="952360"/>
                          </a:xfrm>
                          <a:custGeom>
                            <a:avLst/>
                            <a:gdLst/>
                            <a:ahLst/>
                            <a:cxnLst/>
                            <a:rect l="0" t="0" r="0" b="0"/>
                            <a:pathLst>
                              <a:path w="6722732" h="952360">
                                <a:moveTo>
                                  <a:pt x="0" y="0"/>
                                </a:moveTo>
                                <a:lnTo>
                                  <a:pt x="6722732" y="0"/>
                                </a:lnTo>
                                <a:lnTo>
                                  <a:pt x="6722732" y="952360"/>
                                </a:lnTo>
                                <a:lnTo>
                                  <a:pt x="0" y="9523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911" name="Shape 2911"/>
                        <wps:cNvSpPr/>
                        <wps:spPr>
                          <a:xfrm>
                            <a:off x="0" y="5"/>
                            <a:ext cx="6722736" cy="952356"/>
                          </a:xfrm>
                          <a:custGeom>
                            <a:avLst/>
                            <a:gdLst/>
                            <a:ahLst/>
                            <a:cxnLst/>
                            <a:rect l="0" t="0" r="0" b="0"/>
                            <a:pathLst>
                              <a:path w="6722736" h="952356">
                                <a:moveTo>
                                  <a:pt x="0" y="0"/>
                                </a:moveTo>
                                <a:lnTo>
                                  <a:pt x="6722736" y="0"/>
                                </a:lnTo>
                                <a:lnTo>
                                  <a:pt x="6722736" y="952356"/>
                                </a:lnTo>
                                <a:lnTo>
                                  <a:pt x="0" y="952356"/>
                                </a:lnTo>
                                <a:close/>
                              </a:path>
                            </a:pathLst>
                          </a:custGeom>
                          <a:ln w="27626" cap="flat">
                            <a:miter lim="101600"/>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1318" style="width:529.666pt;height:618.894pt;position:absolute;z-index:-2147483624;mso-position-horizontal-relative:text;mso-position-horizontal:absolute;margin-left:-9.64611pt;mso-position-vertical-relative:text;margin-top:-423.876pt;" coordsize="67267,78599">
                <v:shape id="Shape 2793" style="position:absolute;width:1105;height:4705;left:51364;top:63008;" coordsize="110505,470549" path="m46055,0l64459,0l64459,360043l110505,360043l55252,470549l0,360043l46055,360043l46055,0x">
                  <v:stroke weight="0pt" endcap="flat" joinstyle="miter" miterlimit="10" on="false" color="#000000" opacity="0"/>
                  <v:fill on="true" color="#0e2841"/>
                </v:shape>
                <v:shape id="Shape 2794" style="position:absolute;width:1105;height:6153;left:51495;top:33754;" coordsize="110505,615335" path="m45086,0l63490,0l64463,504793l110505,504709l55457,615335l0,504910l46019,504825l45086,0x">
                  <v:stroke weight="0pt" endcap="flat" joinstyle="miter" miterlimit="10" on="false" color="#000000" opacity="0"/>
                  <v:fill on="true" color="#0e2841"/>
                </v:shape>
                <v:shape id="Shape 2795" style="position:absolute;width:1105;height:5735;left:14074;top:34156;" coordsize="110505,573503" path="m46055,0l64455,0l64455,462998l110505,462998l55253,573503l0,462998l46055,462998l46055,0x">
                  <v:stroke weight="0pt" endcap="flat" joinstyle="miter" miterlimit="10" on="false" color="#000000" opacity="0"/>
                  <v:fill on="true" color="#0e2841"/>
                </v:shape>
                <v:shape id="Shape 2796" style="position:absolute;width:1105;height:4302;left:51123;top:9242;" coordsize="110505,430296" path="m46051,0l64455,0l64455,319791l110505,319791l55249,430296l0,319791l46051,319791l46051,0x">
                  <v:stroke weight="0pt" endcap="flat" joinstyle="miter" miterlimit="10" on="false" color="#000000" opacity="0"/>
                  <v:fill on="true" color="#0e2841"/>
                </v:shape>
                <v:shape id="Shape 2797" style="position:absolute;width:1105;height:4274;left:14114;top:9403;" coordsize="110505,427491" path="m46055,0l64459,0l64459,316986l110505,316986l55253,427491l0,316986l46055,316986l46055,0x">
                  <v:stroke weight="0pt" endcap="flat" joinstyle="miter" miterlimit="10" on="false" color="#000000" opacity="0"/>
                  <v:fill on="true" color="#0e2841"/>
                </v:shape>
                <v:shape id="Shape 2799" style="position:absolute;width:30419;height:10729;left:36808;top:67870;" coordsize="3041907,1072907" path="m0,0l3041907,0l3041907,1072907l0,1072907x">
                  <v:stroke weight="2.1753pt" endcap="flat" joinstyle="miter" miterlimit="8" on="true" color="#1f497d"/>
                  <v:fill on="false" color="#000000" opacity="0"/>
                </v:shape>
                <v:shape id="Shape 2808" style="position:absolute;width:30459;height:22744;left:36808;top:40063;" coordsize="3045926,2274402" path="m0,0l3045926,0l3045926,2274402l0,2274402x">
                  <v:stroke weight="2.1753pt" endcap="flat" joinstyle="miter" miterlimit="8" on="true" color="#1f497d"/>
                  <v:fill on="false" color="#000000" opacity="0"/>
                </v:shape>
                <v:shape id="Shape 2830" style="position:absolute;width:29936;height:22784;left:0;top:40063;" coordsize="2993687,2278421" path="m0,0l2993687,0l2993687,2278421l0,2278421x">
                  <v:stroke weight="2.1753pt" endcap="flat" joinstyle="miter" miterlimit="8" on="true" color="#1f497d"/>
                  <v:fill on="false" color="#000000" opacity="0"/>
                </v:shape>
                <v:shape id="Shape 57683" style="position:absolute;width:30459;height:20533;left:36808;top:13662;" coordsize="3045930,2053391" path="m0,0l3045930,0l3045930,2053391l0,2053391l0,0">
                  <v:stroke weight="0pt" endcap="flat" joinstyle="miter" miterlimit="10" on="false" color="#000000" opacity="0"/>
                  <v:fill on="true" color="#ffffff"/>
                </v:shape>
                <v:shape id="Shape 2862" style="position:absolute;width:30459;height:20533;left:36808;top:13662;" coordsize="3045926,2053392" path="m0,0l3045926,0l3045926,2053392l0,2053392x">
                  <v:stroke weight="2.1753pt" endcap="flat" joinstyle="miter" miterlimit="8" on="true" color="#1f497d"/>
                  <v:fill on="false" color="#000000" opacity="0"/>
                </v:shape>
                <v:shape id="Shape 2890" style="position:absolute;width:29856;height:20212;left:0;top:13823;" coordsize="2985650,2021245" path="m0,0l2985650,0l2985650,2021245l0,2021245x">
                  <v:stroke weight="2.1753pt" endcap="flat" joinstyle="miter" miterlimit="8" on="true" color="#1f497d"/>
                  <v:fill on="false" color="#000000" opacity="0"/>
                </v:shape>
                <v:shape id="Shape 57684" style="position:absolute;width:67227;height:9523;left:0;top:0;" coordsize="6722732,952360" path="m0,0l6722732,0l6722732,952360l0,952360l0,0">
                  <v:stroke weight="0pt" endcap="flat" joinstyle="miter" miterlimit="10" on="false" color="#000000" opacity="0"/>
                  <v:fill on="true" color="#ffffff"/>
                </v:shape>
                <v:shape id="Shape 2911" style="position:absolute;width:67227;height:9523;left:0;top:0;" coordsize="6722736,952356" path="m0,0l6722736,0l6722736,952356l0,952356x">
                  <v:stroke weight="2.1753pt" endcap="flat" joinstyle="miter" miterlimit="8" on="true" color="#1f497d"/>
                  <v:fill on="false" color="#000000" opacity="0"/>
                </v:shape>
              </v:group>
            </w:pict>
          </mc:Fallback>
        </mc:AlternateContent>
      </w:r>
      <w:r>
        <w:rPr>
          <w:color w:val="0D0D0D"/>
          <w:sz w:val="26"/>
        </w:rPr>
        <w:t xml:space="preserve">This will ensure the child’s </w:t>
      </w:r>
      <w:r>
        <w:rPr>
          <w:color w:val="0D0D0D"/>
          <w:sz w:val="26"/>
        </w:rPr>
        <w:tab/>
        <w:t xml:space="preserve">Flowchart 2 sets out the circumstances improve. </w:t>
      </w:r>
      <w:r>
        <w:rPr>
          <w:color w:val="0D0D0D"/>
          <w:sz w:val="26"/>
        </w:rPr>
        <w:tab/>
      </w:r>
      <w:r>
        <w:rPr>
          <w:b/>
          <w:color w:val="0D0D0D"/>
          <w:sz w:val="26"/>
        </w:rPr>
        <w:t xml:space="preserve">actions to take once a referral The child’s best interests </w:t>
      </w:r>
      <w:r>
        <w:rPr>
          <w:b/>
          <w:color w:val="0D0D0D"/>
          <w:sz w:val="26"/>
        </w:rPr>
        <w:tab/>
        <w:t>has been made</w:t>
      </w:r>
      <w:r>
        <w:rPr>
          <w:color w:val="0D0D0D"/>
          <w:sz w:val="26"/>
        </w:rPr>
        <w:t xml:space="preserve">. </w:t>
      </w:r>
      <w:r>
        <w:rPr>
          <w:b/>
          <w:color w:val="0D0D0D"/>
          <w:sz w:val="26"/>
        </w:rPr>
        <w:t>must always come first.</w:t>
      </w:r>
    </w:p>
    <w:p w14:paraId="29EC1BDE" w14:textId="77777777" w:rsidR="00A932C3" w:rsidRDefault="00324E68">
      <w:pPr>
        <w:spacing w:after="15" w:line="266" w:lineRule="auto"/>
        <w:ind w:left="6539" w:right="551" w:hanging="464"/>
      </w:pPr>
      <w:r>
        <w:rPr>
          <w:b/>
          <w:color w:val="0D0D0D"/>
          <w:sz w:val="26"/>
        </w:rPr>
        <w:t xml:space="preserve">School and college staff </w:t>
      </w:r>
      <w:r>
        <w:rPr>
          <w:color w:val="0D0D0D"/>
          <w:sz w:val="26"/>
        </w:rPr>
        <w:t xml:space="preserve">should do all they can to support </w:t>
      </w:r>
    </w:p>
    <w:p w14:paraId="61F5E34C" w14:textId="77777777" w:rsidR="00A932C3" w:rsidRDefault="00324E68">
      <w:pPr>
        <w:spacing w:after="364" w:line="259" w:lineRule="auto"/>
        <w:ind w:left="0" w:right="1287" w:firstLine="0"/>
        <w:jc w:val="right"/>
      </w:pPr>
      <w:r>
        <w:rPr>
          <w:b/>
          <w:color w:val="0D0D0D"/>
          <w:sz w:val="26"/>
        </w:rPr>
        <w:t>children’s social care.</w:t>
      </w:r>
    </w:p>
    <w:p w14:paraId="311DB7AC" w14:textId="77777777" w:rsidR="00A932C3" w:rsidRDefault="00324E68">
      <w:pPr>
        <w:spacing w:after="0" w:line="259" w:lineRule="auto"/>
        <w:ind w:left="1" w:firstLine="0"/>
      </w:pPr>
      <w:r>
        <w:rPr>
          <w:b/>
          <w:sz w:val="20"/>
        </w:rPr>
        <w:t xml:space="preserve"> </w:t>
      </w:r>
    </w:p>
    <w:p w14:paraId="5C1C0BE3" w14:textId="77777777" w:rsidR="00A932C3" w:rsidRDefault="00324E68">
      <w:pPr>
        <w:spacing w:after="45" w:line="289" w:lineRule="auto"/>
        <w:ind w:left="-4"/>
      </w:pPr>
      <w:r>
        <w:rPr>
          <w:b/>
        </w:rPr>
        <w:t xml:space="preserve">Flowchart 2: actions taken once a referral has been made to children’s social care </w:t>
      </w:r>
    </w:p>
    <w:p w14:paraId="3B00EB77" w14:textId="77777777" w:rsidR="00A932C3" w:rsidRDefault="00324E68">
      <w:pPr>
        <w:spacing w:after="150" w:line="259" w:lineRule="auto"/>
        <w:ind w:left="1" w:firstLine="0"/>
      </w:pPr>
      <w:r>
        <w:rPr>
          <w:sz w:val="18"/>
        </w:rPr>
        <w:t xml:space="preserve"> </w:t>
      </w:r>
    </w:p>
    <w:p w14:paraId="2D561291" w14:textId="77777777" w:rsidR="00A932C3" w:rsidRDefault="00324E68">
      <w:pPr>
        <w:spacing w:after="0" w:line="259" w:lineRule="auto"/>
        <w:ind w:left="1" w:firstLine="0"/>
      </w:pPr>
      <w:r>
        <w:rPr>
          <w:sz w:val="18"/>
        </w:rPr>
        <w:t xml:space="preserve"> </w:t>
      </w:r>
    </w:p>
    <w:p w14:paraId="5A131273" w14:textId="77777777" w:rsidR="00A932C3" w:rsidRDefault="00324E68">
      <w:pPr>
        <w:spacing w:after="551" w:line="259" w:lineRule="auto"/>
        <w:ind w:left="-6" w:firstLine="0"/>
      </w:pPr>
      <w:r>
        <w:rPr>
          <w:rFonts w:ascii="Calibri" w:eastAsia="Calibri" w:hAnsi="Calibri" w:cs="Calibri"/>
          <w:noProof/>
          <w:sz w:val="22"/>
        </w:rPr>
        <mc:AlternateContent>
          <mc:Choice Requires="wpg">
            <w:drawing>
              <wp:inline distT="0" distB="0" distL="0" distR="0" wp14:anchorId="5AA4C79B" wp14:editId="7E8A6F07">
                <wp:extent cx="6734374" cy="2003382"/>
                <wp:effectExtent l="0" t="0" r="0" b="0"/>
                <wp:docPr id="52841" name="Group 52841"/>
                <wp:cNvGraphicFramePr/>
                <a:graphic xmlns:a="http://schemas.openxmlformats.org/drawingml/2006/main">
                  <a:graphicData uri="http://schemas.microsoft.com/office/word/2010/wordprocessingGroup">
                    <wpg:wgp>
                      <wpg:cNvGrpSpPr/>
                      <wpg:grpSpPr>
                        <a:xfrm>
                          <a:off x="0" y="0"/>
                          <a:ext cx="6734374" cy="2003382"/>
                          <a:chOff x="0" y="0"/>
                          <a:chExt cx="6734374" cy="2003382"/>
                        </a:xfrm>
                      </wpg:grpSpPr>
                      <wps:wsp>
                        <wps:cNvPr id="2958" name="Shape 2958"/>
                        <wps:cNvSpPr/>
                        <wps:spPr>
                          <a:xfrm>
                            <a:off x="0" y="805577"/>
                            <a:ext cx="1568940" cy="1197805"/>
                          </a:xfrm>
                          <a:custGeom>
                            <a:avLst/>
                            <a:gdLst/>
                            <a:ahLst/>
                            <a:cxnLst/>
                            <a:rect l="0" t="0" r="0" b="0"/>
                            <a:pathLst>
                              <a:path w="1568940" h="1197805">
                                <a:moveTo>
                                  <a:pt x="0" y="0"/>
                                </a:moveTo>
                                <a:lnTo>
                                  <a:pt x="1568940" y="0"/>
                                </a:lnTo>
                                <a:lnTo>
                                  <a:pt x="1568940" y="1197805"/>
                                </a:lnTo>
                                <a:lnTo>
                                  <a:pt x="0" y="1197805"/>
                                </a:lnTo>
                                <a:close/>
                              </a:path>
                            </a:pathLst>
                          </a:custGeom>
                          <a:ln w="20743" cap="flat">
                            <a:miter lim="101600"/>
                          </a:ln>
                        </wps:spPr>
                        <wps:style>
                          <a:lnRef idx="1">
                            <a:srgbClr val="1F497D"/>
                          </a:lnRef>
                          <a:fillRef idx="0">
                            <a:srgbClr val="000000">
                              <a:alpha val="0"/>
                            </a:srgbClr>
                          </a:fillRef>
                          <a:effectRef idx="0">
                            <a:scrgbClr r="0" g="0" b="0"/>
                          </a:effectRef>
                          <a:fontRef idx="none"/>
                        </wps:style>
                        <wps:bodyPr/>
                      </wps:wsp>
                      <wps:wsp>
                        <wps:cNvPr id="2959" name="Rectangle 2959"/>
                        <wps:cNvSpPr/>
                        <wps:spPr>
                          <a:xfrm>
                            <a:off x="146215" y="985551"/>
                            <a:ext cx="711874" cy="154644"/>
                          </a:xfrm>
                          <a:prstGeom prst="rect">
                            <a:avLst/>
                          </a:prstGeom>
                          <a:ln>
                            <a:noFill/>
                          </a:ln>
                        </wps:spPr>
                        <wps:txbx>
                          <w:txbxContent>
                            <w:p w14:paraId="59472DA2" w14:textId="77777777" w:rsidR="00A932C3" w:rsidRDefault="00324E68">
                              <w:pPr>
                                <w:spacing w:after="160" w:line="259" w:lineRule="auto"/>
                                <w:ind w:left="0" w:firstLine="0"/>
                              </w:pPr>
                              <w:r>
                                <w:rPr>
                                  <w:color w:val="0D0D0D"/>
                                  <w:sz w:val="19"/>
                                </w:rPr>
                                <w:t xml:space="preserve">The child </w:t>
                              </w:r>
                            </w:p>
                          </w:txbxContent>
                        </wps:txbx>
                        <wps:bodyPr horzOverflow="overflow" vert="horz" lIns="0" tIns="0" rIns="0" bIns="0" rtlCol="0">
                          <a:noAutofit/>
                        </wps:bodyPr>
                      </wps:wsp>
                      <wps:wsp>
                        <wps:cNvPr id="2960" name="Rectangle 2960"/>
                        <wps:cNvSpPr/>
                        <wps:spPr>
                          <a:xfrm>
                            <a:off x="685536" y="985551"/>
                            <a:ext cx="1016858" cy="154644"/>
                          </a:xfrm>
                          <a:prstGeom prst="rect">
                            <a:avLst/>
                          </a:prstGeom>
                          <a:ln>
                            <a:noFill/>
                          </a:ln>
                        </wps:spPr>
                        <wps:txbx>
                          <w:txbxContent>
                            <w:p w14:paraId="31B61607" w14:textId="77777777" w:rsidR="00A932C3" w:rsidRDefault="00324E68">
                              <w:pPr>
                                <w:spacing w:after="160" w:line="259" w:lineRule="auto"/>
                                <w:ind w:left="0" w:firstLine="0"/>
                              </w:pPr>
                              <w:r>
                                <w:rPr>
                                  <w:color w:val="0D0D0D"/>
                                  <w:sz w:val="19"/>
                                </w:rPr>
                                <w:t xml:space="preserve">is considered </w:t>
                              </w:r>
                            </w:p>
                          </w:txbxContent>
                        </wps:txbx>
                        <wps:bodyPr horzOverflow="overflow" vert="horz" lIns="0" tIns="0" rIns="0" bIns="0" rtlCol="0">
                          <a:noAutofit/>
                        </wps:bodyPr>
                      </wps:wsp>
                      <wps:wsp>
                        <wps:cNvPr id="2961" name="Rectangle 2961"/>
                        <wps:cNvSpPr/>
                        <wps:spPr>
                          <a:xfrm>
                            <a:off x="353648" y="1136409"/>
                            <a:ext cx="364312" cy="154644"/>
                          </a:xfrm>
                          <a:prstGeom prst="rect">
                            <a:avLst/>
                          </a:prstGeom>
                          <a:ln>
                            <a:noFill/>
                          </a:ln>
                        </wps:spPr>
                        <wps:txbx>
                          <w:txbxContent>
                            <w:p w14:paraId="5CACF5DD" w14:textId="77777777" w:rsidR="00A932C3" w:rsidRDefault="00324E68">
                              <w:pPr>
                                <w:spacing w:after="160" w:line="259" w:lineRule="auto"/>
                                <w:ind w:left="0" w:firstLine="0"/>
                              </w:pPr>
                              <w:r>
                                <w:rPr>
                                  <w:color w:val="0D0D0D"/>
                                  <w:sz w:val="19"/>
                                </w:rPr>
                                <w:t>to be</w:t>
                              </w:r>
                            </w:p>
                          </w:txbxContent>
                        </wps:txbx>
                        <wps:bodyPr horzOverflow="overflow" vert="horz" lIns="0" tIns="0" rIns="0" bIns="0" rtlCol="0">
                          <a:noAutofit/>
                        </wps:bodyPr>
                      </wps:wsp>
                      <wps:wsp>
                        <wps:cNvPr id="2962" name="Rectangle 2962"/>
                        <wps:cNvSpPr/>
                        <wps:spPr>
                          <a:xfrm>
                            <a:off x="664808" y="1136409"/>
                            <a:ext cx="768093" cy="154644"/>
                          </a:xfrm>
                          <a:prstGeom prst="rect">
                            <a:avLst/>
                          </a:prstGeom>
                          <a:ln>
                            <a:noFill/>
                          </a:ln>
                        </wps:spPr>
                        <wps:txbx>
                          <w:txbxContent>
                            <w:p w14:paraId="0D984E6C" w14:textId="77777777" w:rsidR="00A932C3" w:rsidRDefault="00324E68">
                              <w:pPr>
                                <w:spacing w:after="160" w:line="259" w:lineRule="auto"/>
                                <w:ind w:left="0" w:firstLine="0"/>
                              </w:pPr>
                              <w:r>
                                <w:rPr>
                                  <w:color w:val="0D0D0D"/>
                                  <w:sz w:val="19"/>
                                </w:rPr>
                                <w:t xml:space="preserve">in need of </w:t>
                              </w:r>
                            </w:p>
                          </w:txbxContent>
                        </wps:txbx>
                        <wps:bodyPr horzOverflow="overflow" vert="horz" lIns="0" tIns="0" rIns="0" bIns="0" rtlCol="0">
                          <a:noAutofit/>
                        </wps:bodyPr>
                      </wps:wsp>
                      <wps:wsp>
                        <wps:cNvPr id="2963" name="Rectangle 2963"/>
                        <wps:cNvSpPr/>
                        <wps:spPr>
                          <a:xfrm>
                            <a:off x="135843" y="1284248"/>
                            <a:ext cx="1665719" cy="154644"/>
                          </a:xfrm>
                          <a:prstGeom prst="rect">
                            <a:avLst/>
                          </a:prstGeom>
                          <a:ln>
                            <a:noFill/>
                          </a:ln>
                        </wps:spPr>
                        <wps:txbx>
                          <w:txbxContent>
                            <w:p w14:paraId="0D047F50" w14:textId="77777777" w:rsidR="00A932C3" w:rsidRDefault="00324E68">
                              <w:pPr>
                                <w:spacing w:after="160" w:line="259" w:lineRule="auto"/>
                                <w:ind w:left="0" w:firstLine="0"/>
                              </w:pPr>
                              <w:r>
                                <w:rPr>
                                  <w:b/>
                                  <w:color w:val="0D0D0D"/>
                                  <w:sz w:val="19"/>
                                </w:rPr>
                                <w:t>immediate protection</w:t>
                              </w:r>
                            </w:p>
                          </w:txbxContent>
                        </wps:txbx>
                        <wps:bodyPr horzOverflow="overflow" vert="horz" lIns="0" tIns="0" rIns="0" bIns="0" rtlCol="0">
                          <a:noAutofit/>
                        </wps:bodyPr>
                      </wps:wsp>
                      <wps:wsp>
                        <wps:cNvPr id="2964" name="Rectangle 2964"/>
                        <wps:cNvSpPr/>
                        <wps:spPr>
                          <a:xfrm>
                            <a:off x="1394274" y="1284248"/>
                            <a:ext cx="89881" cy="154644"/>
                          </a:xfrm>
                          <a:prstGeom prst="rect">
                            <a:avLst/>
                          </a:prstGeom>
                          <a:ln>
                            <a:noFill/>
                          </a:ln>
                        </wps:spPr>
                        <wps:txbx>
                          <w:txbxContent>
                            <w:p w14:paraId="67D1EED2" w14:textId="77777777" w:rsidR="00A932C3" w:rsidRDefault="00324E68">
                              <w:pPr>
                                <w:spacing w:after="160" w:line="259" w:lineRule="auto"/>
                                <w:ind w:left="0" w:firstLine="0"/>
                              </w:pPr>
                              <w:r>
                                <w:rPr>
                                  <w:color w:val="0D0D0D"/>
                                  <w:sz w:val="19"/>
                                </w:rPr>
                                <w:t xml:space="preserve">. </w:t>
                              </w:r>
                            </w:p>
                          </w:txbxContent>
                        </wps:txbx>
                        <wps:bodyPr horzOverflow="overflow" vert="horz" lIns="0" tIns="0" rIns="0" bIns="0" rtlCol="0">
                          <a:noAutofit/>
                        </wps:bodyPr>
                      </wps:wsp>
                      <wps:wsp>
                        <wps:cNvPr id="2965" name="Rectangle 2965"/>
                        <wps:cNvSpPr/>
                        <wps:spPr>
                          <a:xfrm>
                            <a:off x="139300" y="1435106"/>
                            <a:ext cx="666334" cy="154644"/>
                          </a:xfrm>
                          <a:prstGeom prst="rect">
                            <a:avLst/>
                          </a:prstGeom>
                          <a:ln>
                            <a:noFill/>
                          </a:ln>
                        </wps:spPr>
                        <wps:txbx>
                          <w:txbxContent>
                            <w:p w14:paraId="249BCC31" w14:textId="77777777" w:rsidR="00A932C3" w:rsidRDefault="00324E68">
                              <w:pPr>
                                <w:spacing w:after="160" w:line="259" w:lineRule="auto"/>
                                <w:ind w:left="0" w:firstLine="0"/>
                              </w:pPr>
                              <w:r>
                                <w:rPr>
                                  <w:b/>
                                  <w:color w:val="0D0D0D"/>
                                  <w:sz w:val="19"/>
                                </w:rPr>
                                <w:t>Children</w:t>
                              </w:r>
                            </w:p>
                          </w:txbxContent>
                        </wps:txbx>
                        <wps:bodyPr horzOverflow="overflow" vert="horz" lIns="0" tIns="0" rIns="0" bIns="0" rtlCol="0">
                          <a:noAutofit/>
                        </wps:bodyPr>
                      </wps:wsp>
                      <wps:wsp>
                        <wps:cNvPr id="2966" name="Rectangle 2966"/>
                        <wps:cNvSpPr/>
                        <wps:spPr>
                          <a:xfrm>
                            <a:off x="641006" y="1435106"/>
                            <a:ext cx="45739" cy="154644"/>
                          </a:xfrm>
                          <a:prstGeom prst="rect">
                            <a:avLst/>
                          </a:prstGeom>
                          <a:ln>
                            <a:noFill/>
                          </a:ln>
                        </wps:spPr>
                        <wps:txbx>
                          <w:txbxContent>
                            <w:p w14:paraId="639D18B4" w14:textId="77777777" w:rsidR="00A932C3" w:rsidRDefault="00324E68">
                              <w:pPr>
                                <w:spacing w:after="160" w:line="259" w:lineRule="auto"/>
                                <w:ind w:left="0" w:firstLine="0"/>
                              </w:pPr>
                              <w:r>
                                <w:rPr>
                                  <w:b/>
                                  <w:color w:val="0D0D0D"/>
                                  <w:sz w:val="19"/>
                                </w:rPr>
                                <w:t>’</w:t>
                              </w:r>
                            </w:p>
                          </w:txbxContent>
                        </wps:txbx>
                        <wps:bodyPr horzOverflow="overflow" vert="horz" lIns="0" tIns="0" rIns="0" bIns="0" rtlCol="0">
                          <a:noAutofit/>
                        </wps:bodyPr>
                      </wps:wsp>
                      <wps:wsp>
                        <wps:cNvPr id="2967" name="Rectangle 2967"/>
                        <wps:cNvSpPr/>
                        <wps:spPr>
                          <a:xfrm>
                            <a:off x="675375" y="1435106"/>
                            <a:ext cx="1032932" cy="154644"/>
                          </a:xfrm>
                          <a:prstGeom prst="rect">
                            <a:avLst/>
                          </a:prstGeom>
                          <a:ln>
                            <a:noFill/>
                          </a:ln>
                        </wps:spPr>
                        <wps:txbx>
                          <w:txbxContent>
                            <w:p w14:paraId="7E0E4426" w14:textId="77777777" w:rsidR="00A932C3" w:rsidRDefault="00324E68">
                              <w:pPr>
                                <w:spacing w:after="160" w:line="259" w:lineRule="auto"/>
                                <w:ind w:left="0" w:firstLine="0"/>
                              </w:pPr>
                              <w:r>
                                <w:rPr>
                                  <w:b/>
                                  <w:color w:val="0D0D0D"/>
                                  <w:sz w:val="19"/>
                                </w:rPr>
                                <w:t xml:space="preserve">s social care </w:t>
                              </w:r>
                            </w:p>
                          </w:txbxContent>
                        </wps:txbx>
                        <wps:bodyPr horzOverflow="overflow" vert="horz" lIns="0" tIns="0" rIns="0" bIns="0" rtlCol="0">
                          <a:noAutofit/>
                        </wps:bodyPr>
                      </wps:wsp>
                      <wps:wsp>
                        <wps:cNvPr id="2968" name="Rectangle 2968"/>
                        <wps:cNvSpPr/>
                        <wps:spPr>
                          <a:xfrm>
                            <a:off x="225731" y="1582946"/>
                            <a:ext cx="1518467" cy="154644"/>
                          </a:xfrm>
                          <a:prstGeom prst="rect">
                            <a:avLst/>
                          </a:prstGeom>
                          <a:ln>
                            <a:noFill/>
                          </a:ln>
                        </wps:spPr>
                        <wps:txbx>
                          <w:txbxContent>
                            <w:p w14:paraId="75632432" w14:textId="77777777" w:rsidR="00A932C3" w:rsidRDefault="00324E68">
                              <w:pPr>
                                <w:spacing w:after="160" w:line="259" w:lineRule="auto"/>
                                <w:ind w:left="0" w:firstLine="0"/>
                              </w:pPr>
                              <w:r>
                                <w:rPr>
                                  <w:color w:val="0D0D0D"/>
                                  <w:sz w:val="19"/>
                                </w:rPr>
                                <w:t xml:space="preserve">informs the referring </w:t>
                              </w:r>
                            </w:p>
                          </w:txbxContent>
                        </wps:txbx>
                        <wps:bodyPr horzOverflow="overflow" vert="horz" lIns="0" tIns="0" rIns="0" bIns="0" rtlCol="0">
                          <a:noAutofit/>
                        </wps:bodyPr>
                      </wps:wsp>
                      <wps:wsp>
                        <wps:cNvPr id="2969" name="Rectangle 2969"/>
                        <wps:cNvSpPr/>
                        <wps:spPr>
                          <a:xfrm>
                            <a:off x="298333" y="1733801"/>
                            <a:ext cx="1235152" cy="154644"/>
                          </a:xfrm>
                          <a:prstGeom prst="rect">
                            <a:avLst/>
                          </a:prstGeom>
                          <a:ln>
                            <a:noFill/>
                          </a:ln>
                        </wps:spPr>
                        <wps:txbx>
                          <w:txbxContent>
                            <w:p w14:paraId="309E40A8" w14:textId="77777777" w:rsidR="00A932C3" w:rsidRDefault="00324E68">
                              <w:pPr>
                                <w:spacing w:after="160" w:line="259" w:lineRule="auto"/>
                                <w:ind w:left="0" w:firstLine="0"/>
                              </w:pPr>
                              <w:r>
                                <w:rPr>
                                  <w:color w:val="0D0D0D"/>
                                  <w:sz w:val="19"/>
                                </w:rPr>
                                <w:t>school or college</w:t>
                              </w:r>
                            </w:p>
                          </w:txbxContent>
                        </wps:txbx>
                        <wps:bodyPr horzOverflow="overflow" vert="horz" lIns="0" tIns="0" rIns="0" bIns="0" rtlCol="0">
                          <a:noAutofit/>
                        </wps:bodyPr>
                      </wps:wsp>
                      <wps:wsp>
                        <wps:cNvPr id="2970" name="Rectangle 2970"/>
                        <wps:cNvSpPr/>
                        <wps:spPr>
                          <a:xfrm>
                            <a:off x="1226664" y="1733801"/>
                            <a:ext cx="45738" cy="154644"/>
                          </a:xfrm>
                          <a:prstGeom prst="rect">
                            <a:avLst/>
                          </a:prstGeom>
                          <a:ln>
                            <a:noFill/>
                          </a:ln>
                        </wps:spPr>
                        <wps:txbx>
                          <w:txbxContent>
                            <w:p w14:paraId="5F2621E3" w14:textId="77777777" w:rsidR="00A932C3" w:rsidRDefault="00324E68">
                              <w:pPr>
                                <w:spacing w:after="160" w:line="259" w:lineRule="auto"/>
                                <w:ind w:left="0" w:firstLine="0"/>
                              </w:pPr>
                              <w:r>
                                <w:rPr>
                                  <w:color w:val="0D0D0D"/>
                                  <w:sz w:val="19"/>
                                </w:rPr>
                                <w:t>.</w:t>
                              </w:r>
                            </w:p>
                          </w:txbxContent>
                        </wps:txbx>
                        <wps:bodyPr horzOverflow="overflow" vert="horz" lIns="0" tIns="0" rIns="0" bIns="0" rtlCol="0">
                          <a:noAutofit/>
                        </wps:bodyPr>
                      </wps:wsp>
                      <wps:wsp>
                        <wps:cNvPr id="2972" name="Shape 2972"/>
                        <wps:cNvSpPr/>
                        <wps:spPr>
                          <a:xfrm>
                            <a:off x="1692645" y="805577"/>
                            <a:ext cx="1650404" cy="1197805"/>
                          </a:xfrm>
                          <a:custGeom>
                            <a:avLst/>
                            <a:gdLst/>
                            <a:ahLst/>
                            <a:cxnLst/>
                            <a:rect l="0" t="0" r="0" b="0"/>
                            <a:pathLst>
                              <a:path w="1650404" h="1197805">
                                <a:moveTo>
                                  <a:pt x="0" y="0"/>
                                </a:moveTo>
                                <a:lnTo>
                                  <a:pt x="1650404" y="0"/>
                                </a:lnTo>
                                <a:lnTo>
                                  <a:pt x="1650404" y="1197805"/>
                                </a:lnTo>
                                <a:lnTo>
                                  <a:pt x="0" y="1197805"/>
                                </a:lnTo>
                                <a:close/>
                              </a:path>
                            </a:pathLst>
                          </a:custGeom>
                          <a:ln w="20743" cap="flat">
                            <a:miter lim="101600"/>
                          </a:ln>
                        </wps:spPr>
                        <wps:style>
                          <a:lnRef idx="1">
                            <a:srgbClr val="1F497D"/>
                          </a:lnRef>
                          <a:fillRef idx="0">
                            <a:srgbClr val="000000">
                              <a:alpha val="0"/>
                            </a:srgbClr>
                          </a:fillRef>
                          <a:effectRef idx="0">
                            <a:scrgbClr r="0" g="0" b="0"/>
                          </a:effectRef>
                          <a:fontRef idx="none"/>
                        </wps:style>
                        <wps:bodyPr/>
                      </wps:wsp>
                      <wps:wsp>
                        <wps:cNvPr id="2973" name="Rectangle 2973"/>
                        <wps:cNvSpPr/>
                        <wps:spPr>
                          <a:xfrm>
                            <a:off x="1803405" y="1060979"/>
                            <a:ext cx="639730" cy="154644"/>
                          </a:xfrm>
                          <a:prstGeom prst="rect">
                            <a:avLst/>
                          </a:prstGeom>
                          <a:ln>
                            <a:noFill/>
                          </a:ln>
                        </wps:spPr>
                        <wps:txbx>
                          <w:txbxContent>
                            <w:p w14:paraId="6E4E23BE" w14:textId="77777777" w:rsidR="00A932C3" w:rsidRDefault="00324E68">
                              <w:pPr>
                                <w:spacing w:after="160" w:line="259" w:lineRule="auto"/>
                                <w:ind w:left="0" w:firstLine="0"/>
                              </w:pPr>
                              <w:r>
                                <w:rPr>
                                  <w:b/>
                                  <w:color w:val="0D0D0D"/>
                                  <w:sz w:val="19"/>
                                </w:rPr>
                                <w:t xml:space="preserve">Section </w:t>
                              </w:r>
                            </w:p>
                          </w:txbxContent>
                        </wps:txbx>
                        <wps:bodyPr horzOverflow="overflow" vert="horz" lIns="0" tIns="0" rIns="0" bIns="0" rtlCol="0">
                          <a:noAutofit/>
                        </wps:bodyPr>
                      </wps:wsp>
                      <wps:wsp>
                        <wps:cNvPr id="2974" name="Rectangle 2974"/>
                        <wps:cNvSpPr/>
                        <wps:spPr>
                          <a:xfrm>
                            <a:off x="2284574" y="1060979"/>
                            <a:ext cx="183776" cy="154644"/>
                          </a:xfrm>
                          <a:prstGeom prst="rect">
                            <a:avLst/>
                          </a:prstGeom>
                          <a:ln>
                            <a:noFill/>
                          </a:ln>
                        </wps:spPr>
                        <wps:txbx>
                          <w:txbxContent>
                            <w:p w14:paraId="05CC1B2C" w14:textId="77777777" w:rsidR="00A932C3" w:rsidRDefault="00324E68">
                              <w:pPr>
                                <w:spacing w:after="160" w:line="259" w:lineRule="auto"/>
                                <w:ind w:left="0" w:firstLine="0"/>
                              </w:pPr>
                              <w:r>
                                <w:rPr>
                                  <w:b/>
                                  <w:color w:val="0D0D0D"/>
                                  <w:sz w:val="19"/>
                                </w:rPr>
                                <w:t>47</w:t>
                              </w:r>
                            </w:p>
                          </w:txbxContent>
                        </wps:txbx>
                        <wps:bodyPr horzOverflow="overflow" vert="horz" lIns="0" tIns="0" rIns="0" bIns="0" rtlCol="0">
                          <a:noAutofit/>
                        </wps:bodyPr>
                      </wps:wsp>
                      <wps:wsp>
                        <wps:cNvPr id="2975" name="Rectangle 2975"/>
                        <wps:cNvSpPr/>
                        <wps:spPr>
                          <a:xfrm>
                            <a:off x="2460279" y="1060979"/>
                            <a:ext cx="729644" cy="154644"/>
                          </a:xfrm>
                          <a:prstGeom prst="rect">
                            <a:avLst/>
                          </a:prstGeom>
                          <a:ln>
                            <a:noFill/>
                          </a:ln>
                        </wps:spPr>
                        <wps:txbx>
                          <w:txbxContent>
                            <w:p w14:paraId="2EA4275D" w14:textId="77777777" w:rsidR="00A932C3" w:rsidRDefault="00324E68">
                              <w:pPr>
                                <w:spacing w:after="160" w:line="259" w:lineRule="auto"/>
                                <w:ind w:left="0" w:firstLine="0"/>
                              </w:pPr>
                              <w:r>
                                <w:rPr>
                                  <w:b/>
                                  <w:color w:val="0D0D0D"/>
                                  <w:sz w:val="19"/>
                                </w:rPr>
                                <w:t>enquiries</w:t>
                              </w:r>
                            </w:p>
                          </w:txbxContent>
                        </wps:txbx>
                        <wps:bodyPr horzOverflow="overflow" vert="horz" lIns="0" tIns="0" rIns="0" bIns="0" rtlCol="0">
                          <a:noAutofit/>
                        </wps:bodyPr>
                      </wps:wsp>
                      <wps:wsp>
                        <wps:cNvPr id="2976" name="Rectangle 2976"/>
                        <wps:cNvSpPr/>
                        <wps:spPr>
                          <a:xfrm>
                            <a:off x="3047998" y="1060979"/>
                            <a:ext cx="282492" cy="154644"/>
                          </a:xfrm>
                          <a:prstGeom prst="rect">
                            <a:avLst/>
                          </a:prstGeom>
                          <a:ln>
                            <a:noFill/>
                          </a:ln>
                        </wps:spPr>
                        <wps:txbx>
                          <w:txbxContent>
                            <w:p w14:paraId="52449643" w14:textId="77777777" w:rsidR="00A932C3" w:rsidRDefault="00324E68">
                              <w:pPr>
                                <w:spacing w:after="160" w:line="259" w:lineRule="auto"/>
                                <w:ind w:left="0" w:firstLine="0"/>
                              </w:pPr>
                              <w:r>
                                <w:rPr>
                                  <w:color w:val="0D0D0D"/>
                                  <w:sz w:val="19"/>
                                </w:rPr>
                                <w:t xml:space="preserve">are </w:t>
                              </w:r>
                            </w:p>
                          </w:txbxContent>
                        </wps:txbx>
                        <wps:bodyPr horzOverflow="overflow" vert="horz" lIns="0" tIns="0" rIns="0" bIns="0" rtlCol="0">
                          <a:noAutofit/>
                        </wps:bodyPr>
                      </wps:wsp>
                      <wps:wsp>
                        <wps:cNvPr id="2977" name="Rectangle 2977"/>
                        <wps:cNvSpPr/>
                        <wps:spPr>
                          <a:xfrm>
                            <a:off x="1862181" y="1211838"/>
                            <a:ext cx="1684590" cy="154644"/>
                          </a:xfrm>
                          <a:prstGeom prst="rect">
                            <a:avLst/>
                          </a:prstGeom>
                          <a:ln>
                            <a:noFill/>
                          </a:ln>
                        </wps:spPr>
                        <wps:txbx>
                          <w:txbxContent>
                            <w:p w14:paraId="7DD704BD" w14:textId="77777777" w:rsidR="00A932C3" w:rsidRDefault="00324E68">
                              <w:pPr>
                                <w:spacing w:after="160" w:line="259" w:lineRule="auto"/>
                                <w:ind w:left="0" w:firstLine="0"/>
                              </w:pPr>
                              <w:r>
                                <w:rPr>
                                  <w:color w:val="0D0D0D"/>
                                  <w:sz w:val="19"/>
                                </w:rPr>
                                <w:t>considered appropriate</w:t>
                              </w:r>
                            </w:p>
                          </w:txbxContent>
                        </wps:txbx>
                        <wps:bodyPr horzOverflow="overflow" vert="horz" lIns="0" tIns="0" rIns="0" bIns="0" rtlCol="0">
                          <a:noAutofit/>
                        </wps:bodyPr>
                      </wps:wsp>
                      <wps:wsp>
                        <wps:cNvPr id="2978" name="Rectangle 2978"/>
                        <wps:cNvSpPr/>
                        <wps:spPr>
                          <a:xfrm>
                            <a:off x="3127558" y="1211838"/>
                            <a:ext cx="89881" cy="154644"/>
                          </a:xfrm>
                          <a:prstGeom prst="rect">
                            <a:avLst/>
                          </a:prstGeom>
                          <a:ln>
                            <a:noFill/>
                          </a:ln>
                        </wps:spPr>
                        <wps:txbx>
                          <w:txbxContent>
                            <w:p w14:paraId="24FA48D3" w14:textId="77777777" w:rsidR="00A932C3" w:rsidRDefault="00324E68">
                              <w:pPr>
                                <w:spacing w:after="160" w:line="259" w:lineRule="auto"/>
                                <w:ind w:left="0" w:firstLine="0"/>
                              </w:pPr>
                              <w:r>
                                <w:rPr>
                                  <w:color w:val="0D0D0D"/>
                                  <w:sz w:val="19"/>
                                </w:rPr>
                                <w:t xml:space="preserve">. </w:t>
                              </w:r>
                            </w:p>
                          </w:txbxContent>
                        </wps:txbx>
                        <wps:bodyPr horzOverflow="overflow" vert="horz" lIns="0" tIns="0" rIns="0" bIns="0" rtlCol="0">
                          <a:noAutofit/>
                        </wps:bodyPr>
                      </wps:wsp>
                      <wps:wsp>
                        <wps:cNvPr id="2979" name="Rectangle 2979"/>
                        <wps:cNvSpPr/>
                        <wps:spPr>
                          <a:xfrm>
                            <a:off x="1872530" y="1359678"/>
                            <a:ext cx="666333" cy="154644"/>
                          </a:xfrm>
                          <a:prstGeom prst="rect">
                            <a:avLst/>
                          </a:prstGeom>
                          <a:ln>
                            <a:noFill/>
                          </a:ln>
                        </wps:spPr>
                        <wps:txbx>
                          <w:txbxContent>
                            <w:p w14:paraId="192F9110" w14:textId="77777777" w:rsidR="00A932C3" w:rsidRDefault="00324E68">
                              <w:pPr>
                                <w:spacing w:after="160" w:line="259" w:lineRule="auto"/>
                                <w:ind w:left="0" w:firstLine="0"/>
                              </w:pPr>
                              <w:r>
                                <w:rPr>
                                  <w:b/>
                                  <w:color w:val="0D0D0D"/>
                                  <w:sz w:val="19"/>
                                </w:rPr>
                                <w:t>Children</w:t>
                              </w:r>
                            </w:p>
                          </w:txbxContent>
                        </wps:txbx>
                        <wps:bodyPr horzOverflow="overflow" vert="horz" lIns="0" tIns="0" rIns="0" bIns="0" rtlCol="0">
                          <a:noAutofit/>
                        </wps:bodyPr>
                      </wps:wsp>
                      <wps:wsp>
                        <wps:cNvPr id="2980" name="Rectangle 2980"/>
                        <wps:cNvSpPr/>
                        <wps:spPr>
                          <a:xfrm>
                            <a:off x="2374235" y="1359678"/>
                            <a:ext cx="45738" cy="154644"/>
                          </a:xfrm>
                          <a:prstGeom prst="rect">
                            <a:avLst/>
                          </a:prstGeom>
                          <a:ln>
                            <a:noFill/>
                          </a:ln>
                        </wps:spPr>
                        <wps:txbx>
                          <w:txbxContent>
                            <w:p w14:paraId="44110FA1" w14:textId="77777777" w:rsidR="00A932C3" w:rsidRDefault="00324E68">
                              <w:pPr>
                                <w:spacing w:after="160" w:line="259" w:lineRule="auto"/>
                                <w:ind w:left="0" w:firstLine="0"/>
                              </w:pPr>
                              <w:r>
                                <w:rPr>
                                  <w:b/>
                                  <w:color w:val="0D0D0D"/>
                                  <w:sz w:val="19"/>
                                </w:rPr>
                                <w:t>’</w:t>
                              </w:r>
                            </w:p>
                          </w:txbxContent>
                        </wps:txbx>
                        <wps:bodyPr horzOverflow="overflow" vert="horz" lIns="0" tIns="0" rIns="0" bIns="0" rtlCol="0">
                          <a:noAutofit/>
                        </wps:bodyPr>
                      </wps:wsp>
                      <wps:wsp>
                        <wps:cNvPr id="2981" name="Rectangle 2981"/>
                        <wps:cNvSpPr/>
                        <wps:spPr>
                          <a:xfrm>
                            <a:off x="2408605" y="1359678"/>
                            <a:ext cx="1032932" cy="154644"/>
                          </a:xfrm>
                          <a:prstGeom prst="rect">
                            <a:avLst/>
                          </a:prstGeom>
                          <a:ln>
                            <a:noFill/>
                          </a:ln>
                        </wps:spPr>
                        <wps:txbx>
                          <w:txbxContent>
                            <w:p w14:paraId="2D1F3814" w14:textId="77777777" w:rsidR="00A932C3" w:rsidRDefault="00324E68">
                              <w:pPr>
                                <w:spacing w:after="160" w:line="259" w:lineRule="auto"/>
                                <w:ind w:left="0" w:firstLine="0"/>
                              </w:pPr>
                              <w:r>
                                <w:rPr>
                                  <w:b/>
                                  <w:color w:val="0D0D0D"/>
                                  <w:sz w:val="19"/>
                                </w:rPr>
                                <w:t xml:space="preserve">s social care </w:t>
                              </w:r>
                            </w:p>
                          </w:txbxContent>
                        </wps:txbx>
                        <wps:bodyPr horzOverflow="overflow" vert="horz" lIns="0" tIns="0" rIns="0" bIns="0" rtlCol="0">
                          <a:noAutofit/>
                        </wps:bodyPr>
                      </wps:wsp>
                      <wps:wsp>
                        <wps:cNvPr id="2982" name="Rectangle 2982"/>
                        <wps:cNvSpPr/>
                        <wps:spPr>
                          <a:xfrm>
                            <a:off x="1958972" y="1510533"/>
                            <a:ext cx="1518467" cy="154644"/>
                          </a:xfrm>
                          <a:prstGeom prst="rect">
                            <a:avLst/>
                          </a:prstGeom>
                          <a:ln>
                            <a:noFill/>
                          </a:ln>
                        </wps:spPr>
                        <wps:txbx>
                          <w:txbxContent>
                            <w:p w14:paraId="0BE68A5B" w14:textId="77777777" w:rsidR="00A932C3" w:rsidRDefault="00324E68">
                              <w:pPr>
                                <w:spacing w:after="160" w:line="259" w:lineRule="auto"/>
                                <w:ind w:left="0" w:firstLine="0"/>
                              </w:pPr>
                              <w:r>
                                <w:rPr>
                                  <w:color w:val="0D0D0D"/>
                                  <w:sz w:val="19"/>
                                </w:rPr>
                                <w:t xml:space="preserve">informs the referring </w:t>
                              </w:r>
                            </w:p>
                          </w:txbxContent>
                        </wps:txbx>
                        <wps:bodyPr horzOverflow="overflow" vert="horz" lIns="0" tIns="0" rIns="0" bIns="0" rtlCol="0">
                          <a:noAutofit/>
                        </wps:bodyPr>
                      </wps:wsp>
                      <wps:wsp>
                        <wps:cNvPr id="2983" name="Rectangle 2983"/>
                        <wps:cNvSpPr/>
                        <wps:spPr>
                          <a:xfrm>
                            <a:off x="2031566" y="1658373"/>
                            <a:ext cx="1235152" cy="154644"/>
                          </a:xfrm>
                          <a:prstGeom prst="rect">
                            <a:avLst/>
                          </a:prstGeom>
                          <a:ln>
                            <a:noFill/>
                          </a:ln>
                        </wps:spPr>
                        <wps:txbx>
                          <w:txbxContent>
                            <w:p w14:paraId="5DAB9954" w14:textId="77777777" w:rsidR="00A932C3" w:rsidRDefault="00324E68">
                              <w:pPr>
                                <w:spacing w:after="160" w:line="259" w:lineRule="auto"/>
                                <w:ind w:left="0" w:firstLine="0"/>
                              </w:pPr>
                              <w:r>
                                <w:rPr>
                                  <w:color w:val="0D0D0D"/>
                                  <w:sz w:val="19"/>
                                </w:rPr>
                                <w:t>school or college</w:t>
                              </w:r>
                            </w:p>
                          </w:txbxContent>
                        </wps:txbx>
                        <wps:bodyPr horzOverflow="overflow" vert="horz" lIns="0" tIns="0" rIns="0" bIns="0" rtlCol="0">
                          <a:noAutofit/>
                        </wps:bodyPr>
                      </wps:wsp>
                      <wps:wsp>
                        <wps:cNvPr id="2984" name="Rectangle 2984"/>
                        <wps:cNvSpPr/>
                        <wps:spPr>
                          <a:xfrm>
                            <a:off x="2959895" y="1658373"/>
                            <a:ext cx="45738" cy="154644"/>
                          </a:xfrm>
                          <a:prstGeom prst="rect">
                            <a:avLst/>
                          </a:prstGeom>
                          <a:ln>
                            <a:noFill/>
                          </a:ln>
                        </wps:spPr>
                        <wps:txbx>
                          <w:txbxContent>
                            <w:p w14:paraId="1FC481E9" w14:textId="77777777" w:rsidR="00A932C3" w:rsidRDefault="00324E68">
                              <w:pPr>
                                <w:spacing w:after="160" w:line="259" w:lineRule="auto"/>
                                <w:ind w:left="0" w:firstLine="0"/>
                              </w:pPr>
                              <w:r>
                                <w:rPr>
                                  <w:color w:val="0D0D0D"/>
                                  <w:sz w:val="19"/>
                                </w:rPr>
                                <w:t>.</w:t>
                              </w:r>
                            </w:p>
                          </w:txbxContent>
                        </wps:txbx>
                        <wps:bodyPr horzOverflow="overflow" vert="horz" lIns="0" tIns="0" rIns="0" bIns="0" rtlCol="0">
                          <a:noAutofit/>
                        </wps:bodyPr>
                      </wps:wsp>
                      <wps:wsp>
                        <wps:cNvPr id="2986" name="Shape 2986"/>
                        <wps:cNvSpPr/>
                        <wps:spPr>
                          <a:xfrm>
                            <a:off x="3460720" y="805577"/>
                            <a:ext cx="1626267" cy="1194788"/>
                          </a:xfrm>
                          <a:custGeom>
                            <a:avLst/>
                            <a:gdLst/>
                            <a:ahLst/>
                            <a:cxnLst/>
                            <a:rect l="0" t="0" r="0" b="0"/>
                            <a:pathLst>
                              <a:path w="1626267" h="1194788">
                                <a:moveTo>
                                  <a:pt x="0" y="0"/>
                                </a:moveTo>
                                <a:lnTo>
                                  <a:pt x="1626267" y="0"/>
                                </a:lnTo>
                                <a:lnTo>
                                  <a:pt x="1626267" y="1194788"/>
                                </a:lnTo>
                                <a:lnTo>
                                  <a:pt x="0" y="1194788"/>
                                </a:lnTo>
                                <a:close/>
                              </a:path>
                            </a:pathLst>
                          </a:custGeom>
                          <a:ln w="20743" cap="flat">
                            <a:miter lim="101600"/>
                          </a:ln>
                        </wps:spPr>
                        <wps:style>
                          <a:lnRef idx="1">
                            <a:srgbClr val="1F497D"/>
                          </a:lnRef>
                          <a:fillRef idx="0">
                            <a:srgbClr val="000000">
                              <a:alpha val="0"/>
                            </a:srgbClr>
                          </a:fillRef>
                          <a:effectRef idx="0">
                            <a:scrgbClr r="0" g="0" b="0"/>
                          </a:effectRef>
                          <a:fontRef idx="none"/>
                        </wps:style>
                        <wps:bodyPr/>
                      </wps:wsp>
                      <wps:wsp>
                        <wps:cNvPr id="2987" name="Rectangle 2987"/>
                        <wps:cNvSpPr/>
                        <wps:spPr>
                          <a:xfrm>
                            <a:off x="3560166" y="1060979"/>
                            <a:ext cx="639730" cy="154644"/>
                          </a:xfrm>
                          <a:prstGeom prst="rect">
                            <a:avLst/>
                          </a:prstGeom>
                          <a:ln>
                            <a:noFill/>
                          </a:ln>
                        </wps:spPr>
                        <wps:txbx>
                          <w:txbxContent>
                            <w:p w14:paraId="51AE368B" w14:textId="77777777" w:rsidR="00A932C3" w:rsidRDefault="00324E68">
                              <w:pPr>
                                <w:spacing w:after="160" w:line="259" w:lineRule="auto"/>
                                <w:ind w:left="0" w:firstLine="0"/>
                              </w:pPr>
                              <w:r>
                                <w:rPr>
                                  <w:b/>
                                  <w:color w:val="0D0D0D"/>
                                  <w:sz w:val="19"/>
                                </w:rPr>
                                <w:t xml:space="preserve">Section </w:t>
                              </w:r>
                            </w:p>
                          </w:txbxContent>
                        </wps:txbx>
                        <wps:bodyPr horzOverflow="overflow" vert="horz" lIns="0" tIns="0" rIns="0" bIns="0" rtlCol="0">
                          <a:noAutofit/>
                        </wps:bodyPr>
                      </wps:wsp>
                      <wps:wsp>
                        <wps:cNvPr id="2988" name="Rectangle 2988"/>
                        <wps:cNvSpPr/>
                        <wps:spPr>
                          <a:xfrm>
                            <a:off x="4041334" y="1060979"/>
                            <a:ext cx="183776" cy="154644"/>
                          </a:xfrm>
                          <a:prstGeom prst="rect">
                            <a:avLst/>
                          </a:prstGeom>
                          <a:ln>
                            <a:noFill/>
                          </a:ln>
                        </wps:spPr>
                        <wps:txbx>
                          <w:txbxContent>
                            <w:p w14:paraId="00FE2357" w14:textId="77777777" w:rsidR="00A932C3" w:rsidRDefault="00324E68">
                              <w:pPr>
                                <w:spacing w:after="160" w:line="259" w:lineRule="auto"/>
                                <w:ind w:left="0" w:firstLine="0"/>
                              </w:pPr>
                              <w:r>
                                <w:rPr>
                                  <w:b/>
                                  <w:color w:val="0D0D0D"/>
                                  <w:sz w:val="19"/>
                                </w:rPr>
                                <w:t>17</w:t>
                              </w:r>
                            </w:p>
                          </w:txbxContent>
                        </wps:txbx>
                        <wps:bodyPr horzOverflow="overflow" vert="horz" lIns="0" tIns="0" rIns="0" bIns="0" rtlCol="0">
                          <a:noAutofit/>
                        </wps:bodyPr>
                      </wps:wsp>
                      <wps:wsp>
                        <wps:cNvPr id="2989" name="Rectangle 2989"/>
                        <wps:cNvSpPr/>
                        <wps:spPr>
                          <a:xfrm>
                            <a:off x="4217039" y="1060979"/>
                            <a:ext cx="729644" cy="154644"/>
                          </a:xfrm>
                          <a:prstGeom prst="rect">
                            <a:avLst/>
                          </a:prstGeom>
                          <a:ln>
                            <a:noFill/>
                          </a:ln>
                        </wps:spPr>
                        <wps:txbx>
                          <w:txbxContent>
                            <w:p w14:paraId="482BCE92" w14:textId="77777777" w:rsidR="00A932C3" w:rsidRDefault="00324E68">
                              <w:pPr>
                                <w:spacing w:after="160" w:line="259" w:lineRule="auto"/>
                                <w:ind w:left="0" w:firstLine="0"/>
                              </w:pPr>
                              <w:r>
                                <w:rPr>
                                  <w:b/>
                                  <w:color w:val="0D0D0D"/>
                                  <w:sz w:val="19"/>
                                </w:rPr>
                                <w:t>enquiries</w:t>
                              </w:r>
                            </w:p>
                          </w:txbxContent>
                        </wps:txbx>
                        <wps:bodyPr horzOverflow="overflow" vert="horz" lIns="0" tIns="0" rIns="0" bIns="0" rtlCol="0">
                          <a:noAutofit/>
                        </wps:bodyPr>
                      </wps:wsp>
                      <wps:wsp>
                        <wps:cNvPr id="2990" name="Rectangle 2990"/>
                        <wps:cNvSpPr/>
                        <wps:spPr>
                          <a:xfrm>
                            <a:off x="4804759" y="1060979"/>
                            <a:ext cx="282492" cy="154644"/>
                          </a:xfrm>
                          <a:prstGeom prst="rect">
                            <a:avLst/>
                          </a:prstGeom>
                          <a:ln>
                            <a:noFill/>
                          </a:ln>
                        </wps:spPr>
                        <wps:txbx>
                          <w:txbxContent>
                            <w:p w14:paraId="539375E9" w14:textId="77777777" w:rsidR="00A932C3" w:rsidRDefault="00324E68">
                              <w:pPr>
                                <w:spacing w:after="160" w:line="259" w:lineRule="auto"/>
                                <w:ind w:left="0" w:firstLine="0"/>
                              </w:pPr>
                              <w:r>
                                <w:rPr>
                                  <w:color w:val="0D0D0D"/>
                                  <w:sz w:val="19"/>
                                </w:rPr>
                                <w:t xml:space="preserve">are </w:t>
                              </w:r>
                            </w:p>
                          </w:txbxContent>
                        </wps:txbx>
                        <wps:bodyPr horzOverflow="overflow" vert="horz" lIns="0" tIns="0" rIns="0" bIns="0" rtlCol="0">
                          <a:noAutofit/>
                        </wps:bodyPr>
                      </wps:wsp>
                      <wps:wsp>
                        <wps:cNvPr id="2991" name="Rectangle 2991"/>
                        <wps:cNvSpPr/>
                        <wps:spPr>
                          <a:xfrm>
                            <a:off x="3618940" y="1211838"/>
                            <a:ext cx="1684590" cy="154644"/>
                          </a:xfrm>
                          <a:prstGeom prst="rect">
                            <a:avLst/>
                          </a:prstGeom>
                          <a:ln>
                            <a:noFill/>
                          </a:ln>
                        </wps:spPr>
                        <wps:txbx>
                          <w:txbxContent>
                            <w:p w14:paraId="582CC991" w14:textId="77777777" w:rsidR="00A932C3" w:rsidRDefault="00324E68">
                              <w:pPr>
                                <w:spacing w:after="160" w:line="259" w:lineRule="auto"/>
                                <w:ind w:left="0" w:firstLine="0"/>
                              </w:pPr>
                              <w:r>
                                <w:rPr>
                                  <w:color w:val="0D0D0D"/>
                                  <w:sz w:val="19"/>
                                </w:rPr>
                                <w:t>considered appropriate</w:t>
                              </w:r>
                            </w:p>
                          </w:txbxContent>
                        </wps:txbx>
                        <wps:bodyPr horzOverflow="overflow" vert="horz" lIns="0" tIns="0" rIns="0" bIns="0" rtlCol="0">
                          <a:noAutofit/>
                        </wps:bodyPr>
                      </wps:wsp>
                      <wps:wsp>
                        <wps:cNvPr id="2992" name="Rectangle 2992"/>
                        <wps:cNvSpPr/>
                        <wps:spPr>
                          <a:xfrm>
                            <a:off x="4884319" y="1211838"/>
                            <a:ext cx="89881" cy="154644"/>
                          </a:xfrm>
                          <a:prstGeom prst="rect">
                            <a:avLst/>
                          </a:prstGeom>
                          <a:ln>
                            <a:noFill/>
                          </a:ln>
                        </wps:spPr>
                        <wps:txbx>
                          <w:txbxContent>
                            <w:p w14:paraId="5A233B0A" w14:textId="77777777" w:rsidR="00A932C3" w:rsidRDefault="00324E68">
                              <w:pPr>
                                <w:spacing w:after="160" w:line="259" w:lineRule="auto"/>
                                <w:ind w:left="0" w:firstLine="0"/>
                              </w:pPr>
                              <w:r>
                                <w:rPr>
                                  <w:color w:val="0D0D0D"/>
                                  <w:sz w:val="19"/>
                                </w:rPr>
                                <w:t xml:space="preserve">. </w:t>
                              </w:r>
                            </w:p>
                          </w:txbxContent>
                        </wps:txbx>
                        <wps:bodyPr horzOverflow="overflow" vert="horz" lIns="0" tIns="0" rIns="0" bIns="0" rtlCol="0">
                          <a:noAutofit/>
                        </wps:bodyPr>
                      </wps:wsp>
                      <wps:wsp>
                        <wps:cNvPr id="2993" name="Rectangle 2993"/>
                        <wps:cNvSpPr/>
                        <wps:spPr>
                          <a:xfrm>
                            <a:off x="3629320" y="1359678"/>
                            <a:ext cx="666334" cy="154644"/>
                          </a:xfrm>
                          <a:prstGeom prst="rect">
                            <a:avLst/>
                          </a:prstGeom>
                          <a:ln>
                            <a:noFill/>
                          </a:ln>
                        </wps:spPr>
                        <wps:txbx>
                          <w:txbxContent>
                            <w:p w14:paraId="5F7E47B6" w14:textId="77777777" w:rsidR="00A932C3" w:rsidRDefault="00324E68">
                              <w:pPr>
                                <w:spacing w:after="160" w:line="259" w:lineRule="auto"/>
                                <w:ind w:left="0" w:firstLine="0"/>
                              </w:pPr>
                              <w:r>
                                <w:rPr>
                                  <w:b/>
                                  <w:color w:val="0D0D0D"/>
                                  <w:sz w:val="19"/>
                                </w:rPr>
                                <w:t>Children</w:t>
                              </w:r>
                            </w:p>
                          </w:txbxContent>
                        </wps:txbx>
                        <wps:bodyPr horzOverflow="overflow" vert="horz" lIns="0" tIns="0" rIns="0" bIns="0" rtlCol="0">
                          <a:noAutofit/>
                        </wps:bodyPr>
                      </wps:wsp>
                      <wps:wsp>
                        <wps:cNvPr id="2994" name="Rectangle 2994"/>
                        <wps:cNvSpPr/>
                        <wps:spPr>
                          <a:xfrm>
                            <a:off x="4131026" y="1359678"/>
                            <a:ext cx="45738" cy="154644"/>
                          </a:xfrm>
                          <a:prstGeom prst="rect">
                            <a:avLst/>
                          </a:prstGeom>
                          <a:ln>
                            <a:noFill/>
                          </a:ln>
                        </wps:spPr>
                        <wps:txbx>
                          <w:txbxContent>
                            <w:p w14:paraId="1D7EED31" w14:textId="77777777" w:rsidR="00A932C3" w:rsidRDefault="00324E68">
                              <w:pPr>
                                <w:spacing w:after="160" w:line="259" w:lineRule="auto"/>
                                <w:ind w:left="0" w:firstLine="0"/>
                              </w:pPr>
                              <w:r>
                                <w:rPr>
                                  <w:b/>
                                  <w:color w:val="0D0D0D"/>
                                  <w:sz w:val="19"/>
                                </w:rPr>
                                <w:t>’</w:t>
                              </w:r>
                            </w:p>
                          </w:txbxContent>
                        </wps:txbx>
                        <wps:bodyPr horzOverflow="overflow" vert="horz" lIns="0" tIns="0" rIns="0" bIns="0" rtlCol="0">
                          <a:noAutofit/>
                        </wps:bodyPr>
                      </wps:wsp>
                      <wps:wsp>
                        <wps:cNvPr id="2995" name="Rectangle 2995"/>
                        <wps:cNvSpPr/>
                        <wps:spPr>
                          <a:xfrm>
                            <a:off x="4165395" y="1359678"/>
                            <a:ext cx="1032932" cy="154644"/>
                          </a:xfrm>
                          <a:prstGeom prst="rect">
                            <a:avLst/>
                          </a:prstGeom>
                          <a:ln>
                            <a:noFill/>
                          </a:ln>
                        </wps:spPr>
                        <wps:txbx>
                          <w:txbxContent>
                            <w:p w14:paraId="1E7CA89E" w14:textId="77777777" w:rsidR="00A932C3" w:rsidRDefault="00324E68">
                              <w:pPr>
                                <w:spacing w:after="160" w:line="259" w:lineRule="auto"/>
                                <w:ind w:left="0" w:firstLine="0"/>
                              </w:pPr>
                              <w:r>
                                <w:rPr>
                                  <w:b/>
                                  <w:color w:val="0D0D0D"/>
                                  <w:sz w:val="19"/>
                                </w:rPr>
                                <w:t xml:space="preserve">s social care </w:t>
                              </w:r>
                            </w:p>
                          </w:txbxContent>
                        </wps:txbx>
                        <wps:bodyPr horzOverflow="overflow" vert="horz" lIns="0" tIns="0" rIns="0" bIns="0" rtlCol="0">
                          <a:noAutofit/>
                        </wps:bodyPr>
                      </wps:wsp>
                      <wps:wsp>
                        <wps:cNvPr id="2996" name="Rectangle 2996"/>
                        <wps:cNvSpPr/>
                        <wps:spPr>
                          <a:xfrm>
                            <a:off x="3715761" y="1510533"/>
                            <a:ext cx="1518467" cy="154644"/>
                          </a:xfrm>
                          <a:prstGeom prst="rect">
                            <a:avLst/>
                          </a:prstGeom>
                          <a:ln>
                            <a:noFill/>
                          </a:ln>
                        </wps:spPr>
                        <wps:txbx>
                          <w:txbxContent>
                            <w:p w14:paraId="3197FC7E" w14:textId="77777777" w:rsidR="00A932C3" w:rsidRDefault="00324E68">
                              <w:pPr>
                                <w:spacing w:after="160" w:line="259" w:lineRule="auto"/>
                                <w:ind w:left="0" w:firstLine="0"/>
                              </w:pPr>
                              <w:r>
                                <w:rPr>
                                  <w:color w:val="0D0D0D"/>
                                  <w:sz w:val="19"/>
                                </w:rPr>
                                <w:t xml:space="preserve">informs the referring </w:t>
                              </w:r>
                            </w:p>
                          </w:txbxContent>
                        </wps:txbx>
                        <wps:bodyPr horzOverflow="overflow" vert="horz" lIns="0" tIns="0" rIns="0" bIns="0" rtlCol="0">
                          <a:noAutofit/>
                        </wps:bodyPr>
                      </wps:wsp>
                      <wps:wsp>
                        <wps:cNvPr id="2997" name="Rectangle 2997"/>
                        <wps:cNvSpPr/>
                        <wps:spPr>
                          <a:xfrm>
                            <a:off x="3788356" y="1658373"/>
                            <a:ext cx="1235152" cy="154644"/>
                          </a:xfrm>
                          <a:prstGeom prst="rect">
                            <a:avLst/>
                          </a:prstGeom>
                          <a:ln>
                            <a:noFill/>
                          </a:ln>
                        </wps:spPr>
                        <wps:txbx>
                          <w:txbxContent>
                            <w:p w14:paraId="50E010F8" w14:textId="77777777" w:rsidR="00A932C3" w:rsidRDefault="00324E68">
                              <w:pPr>
                                <w:spacing w:after="160" w:line="259" w:lineRule="auto"/>
                                <w:ind w:left="0" w:firstLine="0"/>
                              </w:pPr>
                              <w:r>
                                <w:rPr>
                                  <w:color w:val="0D0D0D"/>
                                  <w:sz w:val="19"/>
                                </w:rPr>
                                <w:t>school or college</w:t>
                              </w:r>
                            </w:p>
                          </w:txbxContent>
                        </wps:txbx>
                        <wps:bodyPr horzOverflow="overflow" vert="horz" lIns="0" tIns="0" rIns="0" bIns="0" rtlCol="0">
                          <a:noAutofit/>
                        </wps:bodyPr>
                      </wps:wsp>
                      <wps:wsp>
                        <wps:cNvPr id="2998" name="Rectangle 2998"/>
                        <wps:cNvSpPr/>
                        <wps:spPr>
                          <a:xfrm>
                            <a:off x="4716686" y="1658373"/>
                            <a:ext cx="45738" cy="154644"/>
                          </a:xfrm>
                          <a:prstGeom prst="rect">
                            <a:avLst/>
                          </a:prstGeom>
                          <a:ln>
                            <a:noFill/>
                          </a:ln>
                        </wps:spPr>
                        <wps:txbx>
                          <w:txbxContent>
                            <w:p w14:paraId="47E8A2B3" w14:textId="77777777" w:rsidR="00A932C3" w:rsidRDefault="00324E68">
                              <w:pPr>
                                <w:spacing w:after="160" w:line="259" w:lineRule="auto"/>
                                <w:ind w:left="0" w:firstLine="0"/>
                              </w:pPr>
                              <w:r>
                                <w:rPr>
                                  <w:color w:val="0D0D0D"/>
                                  <w:sz w:val="19"/>
                                </w:rPr>
                                <w:t>.</w:t>
                              </w:r>
                            </w:p>
                          </w:txbxContent>
                        </wps:txbx>
                        <wps:bodyPr horzOverflow="overflow" vert="horz" lIns="0" tIns="0" rIns="0" bIns="0" rtlCol="0">
                          <a:noAutofit/>
                        </wps:bodyPr>
                      </wps:wsp>
                      <wps:wsp>
                        <wps:cNvPr id="3000" name="Shape 3000"/>
                        <wps:cNvSpPr/>
                        <wps:spPr>
                          <a:xfrm>
                            <a:off x="5204657" y="808594"/>
                            <a:ext cx="1529717" cy="1194788"/>
                          </a:xfrm>
                          <a:custGeom>
                            <a:avLst/>
                            <a:gdLst/>
                            <a:ahLst/>
                            <a:cxnLst/>
                            <a:rect l="0" t="0" r="0" b="0"/>
                            <a:pathLst>
                              <a:path w="1529717" h="1194788">
                                <a:moveTo>
                                  <a:pt x="0" y="0"/>
                                </a:moveTo>
                                <a:lnTo>
                                  <a:pt x="1529717" y="0"/>
                                </a:lnTo>
                                <a:lnTo>
                                  <a:pt x="1529717" y="1194788"/>
                                </a:lnTo>
                                <a:lnTo>
                                  <a:pt x="0" y="1194788"/>
                                </a:lnTo>
                                <a:close/>
                              </a:path>
                            </a:pathLst>
                          </a:custGeom>
                          <a:ln w="20743" cap="flat">
                            <a:miter lim="101600"/>
                          </a:ln>
                        </wps:spPr>
                        <wps:style>
                          <a:lnRef idx="1">
                            <a:srgbClr val="1F497D"/>
                          </a:lnRef>
                          <a:fillRef idx="0">
                            <a:srgbClr val="000000">
                              <a:alpha val="0"/>
                            </a:srgbClr>
                          </a:fillRef>
                          <a:effectRef idx="0">
                            <a:scrgbClr r="0" g="0" b="0"/>
                          </a:effectRef>
                          <a:fontRef idx="none"/>
                        </wps:style>
                        <wps:bodyPr/>
                      </wps:wsp>
                      <wps:wsp>
                        <wps:cNvPr id="3001" name="Rectangle 3001"/>
                        <wps:cNvSpPr/>
                        <wps:spPr>
                          <a:xfrm>
                            <a:off x="5350146" y="1060979"/>
                            <a:ext cx="1682977" cy="154644"/>
                          </a:xfrm>
                          <a:prstGeom prst="rect">
                            <a:avLst/>
                          </a:prstGeom>
                          <a:ln>
                            <a:noFill/>
                          </a:ln>
                        </wps:spPr>
                        <wps:txbx>
                          <w:txbxContent>
                            <w:p w14:paraId="6E021418" w14:textId="77777777" w:rsidR="00A932C3" w:rsidRDefault="00324E68">
                              <w:pPr>
                                <w:spacing w:after="160" w:line="259" w:lineRule="auto"/>
                                <w:ind w:left="0" w:firstLine="0"/>
                              </w:pPr>
                              <w:r>
                                <w:rPr>
                                  <w:color w:val="0D0D0D"/>
                                  <w:sz w:val="19"/>
                                </w:rPr>
                                <w:t xml:space="preserve">No formal assessment </w:t>
                              </w:r>
                            </w:p>
                          </w:txbxContent>
                        </wps:txbx>
                        <wps:bodyPr horzOverflow="overflow" vert="horz" lIns="0" tIns="0" rIns="0" bIns="0" rtlCol="0">
                          <a:noAutofit/>
                        </wps:bodyPr>
                      </wps:wsp>
                      <wps:wsp>
                        <wps:cNvPr id="3002" name="Rectangle 3002"/>
                        <wps:cNvSpPr/>
                        <wps:spPr>
                          <a:xfrm>
                            <a:off x="5661278" y="1211838"/>
                            <a:ext cx="769640" cy="154644"/>
                          </a:xfrm>
                          <a:prstGeom prst="rect">
                            <a:avLst/>
                          </a:prstGeom>
                          <a:ln>
                            <a:noFill/>
                          </a:ln>
                        </wps:spPr>
                        <wps:txbx>
                          <w:txbxContent>
                            <w:p w14:paraId="3BB71546" w14:textId="77777777" w:rsidR="00A932C3" w:rsidRDefault="00324E68">
                              <w:pPr>
                                <w:spacing w:after="160" w:line="259" w:lineRule="auto"/>
                                <w:ind w:left="0" w:firstLine="0"/>
                              </w:pPr>
                              <w:r>
                                <w:rPr>
                                  <w:color w:val="0D0D0D"/>
                                  <w:sz w:val="19"/>
                                </w:rPr>
                                <w:t>is required</w:t>
                              </w:r>
                            </w:p>
                          </w:txbxContent>
                        </wps:txbx>
                        <wps:bodyPr horzOverflow="overflow" vert="horz" lIns="0" tIns="0" rIns="0" bIns="0" rtlCol="0">
                          <a:noAutofit/>
                        </wps:bodyPr>
                      </wps:wsp>
                      <wps:wsp>
                        <wps:cNvPr id="3003" name="Rectangle 3003"/>
                        <wps:cNvSpPr/>
                        <wps:spPr>
                          <a:xfrm>
                            <a:off x="6238850" y="1211838"/>
                            <a:ext cx="89881" cy="154644"/>
                          </a:xfrm>
                          <a:prstGeom prst="rect">
                            <a:avLst/>
                          </a:prstGeom>
                          <a:ln>
                            <a:noFill/>
                          </a:ln>
                        </wps:spPr>
                        <wps:txbx>
                          <w:txbxContent>
                            <w:p w14:paraId="21D05FD6" w14:textId="77777777" w:rsidR="00A932C3" w:rsidRDefault="00324E68">
                              <w:pPr>
                                <w:spacing w:after="160" w:line="259" w:lineRule="auto"/>
                                <w:ind w:left="0" w:firstLine="0"/>
                              </w:pPr>
                              <w:r>
                                <w:rPr>
                                  <w:color w:val="0D0D0D"/>
                                  <w:sz w:val="19"/>
                                </w:rPr>
                                <w:t xml:space="preserve">. </w:t>
                              </w:r>
                            </w:p>
                          </w:txbxContent>
                        </wps:txbx>
                        <wps:bodyPr horzOverflow="overflow" vert="horz" lIns="0" tIns="0" rIns="0" bIns="0" rtlCol="0">
                          <a:noAutofit/>
                        </wps:bodyPr>
                      </wps:wsp>
                      <wps:wsp>
                        <wps:cNvPr id="3004" name="Rectangle 3004"/>
                        <wps:cNvSpPr/>
                        <wps:spPr>
                          <a:xfrm>
                            <a:off x="5325948" y="1359678"/>
                            <a:ext cx="666334" cy="154644"/>
                          </a:xfrm>
                          <a:prstGeom prst="rect">
                            <a:avLst/>
                          </a:prstGeom>
                          <a:ln>
                            <a:noFill/>
                          </a:ln>
                        </wps:spPr>
                        <wps:txbx>
                          <w:txbxContent>
                            <w:p w14:paraId="64B30E3C" w14:textId="77777777" w:rsidR="00A932C3" w:rsidRDefault="00324E68">
                              <w:pPr>
                                <w:spacing w:after="160" w:line="259" w:lineRule="auto"/>
                                <w:ind w:left="0" w:firstLine="0"/>
                              </w:pPr>
                              <w:r>
                                <w:rPr>
                                  <w:b/>
                                  <w:color w:val="0D0D0D"/>
                                  <w:sz w:val="19"/>
                                </w:rPr>
                                <w:t>Children</w:t>
                              </w:r>
                            </w:p>
                          </w:txbxContent>
                        </wps:txbx>
                        <wps:bodyPr horzOverflow="overflow" vert="horz" lIns="0" tIns="0" rIns="0" bIns="0" rtlCol="0">
                          <a:noAutofit/>
                        </wps:bodyPr>
                      </wps:wsp>
                      <wps:wsp>
                        <wps:cNvPr id="3005" name="Rectangle 3005"/>
                        <wps:cNvSpPr/>
                        <wps:spPr>
                          <a:xfrm>
                            <a:off x="5827653" y="1359678"/>
                            <a:ext cx="45738" cy="154644"/>
                          </a:xfrm>
                          <a:prstGeom prst="rect">
                            <a:avLst/>
                          </a:prstGeom>
                          <a:ln>
                            <a:noFill/>
                          </a:ln>
                        </wps:spPr>
                        <wps:txbx>
                          <w:txbxContent>
                            <w:p w14:paraId="68FD9D6E" w14:textId="77777777" w:rsidR="00A932C3" w:rsidRDefault="00324E68">
                              <w:pPr>
                                <w:spacing w:after="160" w:line="259" w:lineRule="auto"/>
                                <w:ind w:left="0" w:firstLine="0"/>
                              </w:pPr>
                              <w:r>
                                <w:rPr>
                                  <w:b/>
                                  <w:color w:val="0D0D0D"/>
                                  <w:sz w:val="19"/>
                                </w:rPr>
                                <w:t>’</w:t>
                              </w:r>
                            </w:p>
                          </w:txbxContent>
                        </wps:txbx>
                        <wps:bodyPr horzOverflow="overflow" vert="horz" lIns="0" tIns="0" rIns="0" bIns="0" rtlCol="0">
                          <a:noAutofit/>
                        </wps:bodyPr>
                      </wps:wsp>
                      <wps:wsp>
                        <wps:cNvPr id="3006" name="Rectangle 3006"/>
                        <wps:cNvSpPr/>
                        <wps:spPr>
                          <a:xfrm>
                            <a:off x="5862022" y="1359678"/>
                            <a:ext cx="1032932" cy="154644"/>
                          </a:xfrm>
                          <a:prstGeom prst="rect">
                            <a:avLst/>
                          </a:prstGeom>
                          <a:ln>
                            <a:noFill/>
                          </a:ln>
                        </wps:spPr>
                        <wps:txbx>
                          <w:txbxContent>
                            <w:p w14:paraId="20F8D370" w14:textId="77777777" w:rsidR="00A932C3" w:rsidRDefault="00324E68">
                              <w:pPr>
                                <w:spacing w:after="160" w:line="259" w:lineRule="auto"/>
                                <w:ind w:left="0" w:firstLine="0"/>
                              </w:pPr>
                              <w:r>
                                <w:rPr>
                                  <w:b/>
                                  <w:color w:val="0D0D0D"/>
                                  <w:sz w:val="19"/>
                                </w:rPr>
                                <w:t xml:space="preserve">s social care </w:t>
                              </w:r>
                            </w:p>
                          </w:txbxContent>
                        </wps:txbx>
                        <wps:bodyPr horzOverflow="overflow" vert="horz" lIns="0" tIns="0" rIns="0" bIns="0" rtlCol="0">
                          <a:noAutofit/>
                        </wps:bodyPr>
                      </wps:wsp>
                      <wps:wsp>
                        <wps:cNvPr id="3007" name="Rectangle 3007"/>
                        <wps:cNvSpPr/>
                        <wps:spPr>
                          <a:xfrm>
                            <a:off x="5412359" y="1510533"/>
                            <a:ext cx="1518467" cy="154644"/>
                          </a:xfrm>
                          <a:prstGeom prst="rect">
                            <a:avLst/>
                          </a:prstGeom>
                          <a:ln>
                            <a:noFill/>
                          </a:ln>
                        </wps:spPr>
                        <wps:txbx>
                          <w:txbxContent>
                            <w:p w14:paraId="5A24CA9E" w14:textId="77777777" w:rsidR="00A932C3" w:rsidRDefault="00324E68">
                              <w:pPr>
                                <w:spacing w:after="160" w:line="259" w:lineRule="auto"/>
                                <w:ind w:left="0" w:firstLine="0"/>
                              </w:pPr>
                              <w:r>
                                <w:rPr>
                                  <w:color w:val="0D0D0D"/>
                                  <w:sz w:val="19"/>
                                </w:rPr>
                                <w:t xml:space="preserve">informs the referring </w:t>
                              </w:r>
                            </w:p>
                          </w:txbxContent>
                        </wps:txbx>
                        <wps:bodyPr horzOverflow="overflow" vert="horz" lIns="0" tIns="0" rIns="0" bIns="0" rtlCol="0">
                          <a:noAutofit/>
                        </wps:bodyPr>
                      </wps:wsp>
                      <wps:wsp>
                        <wps:cNvPr id="3008" name="Rectangle 3008"/>
                        <wps:cNvSpPr/>
                        <wps:spPr>
                          <a:xfrm>
                            <a:off x="5484983" y="1658373"/>
                            <a:ext cx="1235152" cy="154644"/>
                          </a:xfrm>
                          <a:prstGeom prst="rect">
                            <a:avLst/>
                          </a:prstGeom>
                          <a:ln>
                            <a:noFill/>
                          </a:ln>
                        </wps:spPr>
                        <wps:txbx>
                          <w:txbxContent>
                            <w:p w14:paraId="0ADF4A06" w14:textId="77777777" w:rsidR="00A932C3" w:rsidRDefault="00324E68">
                              <w:pPr>
                                <w:spacing w:after="160" w:line="259" w:lineRule="auto"/>
                                <w:ind w:left="0" w:firstLine="0"/>
                              </w:pPr>
                              <w:r>
                                <w:rPr>
                                  <w:color w:val="0D0D0D"/>
                                  <w:sz w:val="19"/>
                                </w:rPr>
                                <w:t>school or college</w:t>
                              </w:r>
                            </w:p>
                          </w:txbxContent>
                        </wps:txbx>
                        <wps:bodyPr horzOverflow="overflow" vert="horz" lIns="0" tIns="0" rIns="0" bIns="0" rtlCol="0">
                          <a:noAutofit/>
                        </wps:bodyPr>
                      </wps:wsp>
                      <wps:wsp>
                        <wps:cNvPr id="3009" name="Rectangle 3009"/>
                        <wps:cNvSpPr/>
                        <wps:spPr>
                          <a:xfrm>
                            <a:off x="6413313" y="1658373"/>
                            <a:ext cx="89881" cy="154644"/>
                          </a:xfrm>
                          <a:prstGeom prst="rect">
                            <a:avLst/>
                          </a:prstGeom>
                          <a:ln>
                            <a:noFill/>
                          </a:ln>
                        </wps:spPr>
                        <wps:txbx>
                          <w:txbxContent>
                            <w:p w14:paraId="0CE22C28" w14:textId="77777777" w:rsidR="00A932C3" w:rsidRDefault="00324E68">
                              <w:pPr>
                                <w:spacing w:after="160" w:line="259" w:lineRule="auto"/>
                                <w:ind w:left="0" w:firstLine="0"/>
                              </w:pPr>
                              <w:r>
                                <w:rPr>
                                  <w:color w:val="0D0D0D"/>
                                  <w:sz w:val="19"/>
                                </w:rPr>
                                <w:t xml:space="preserve">. </w:t>
                              </w:r>
                            </w:p>
                          </w:txbxContent>
                        </wps:txbx>
                        <wps:bodyPr horzOverflow="overflow" vert="horz" lIns="0" tIns="0" rIns="0" bIns="0" rtlCol="0">
                          <a:noAutofit/>
                        </wps:bodyPr>
                      </wps:wsp>
                      <wps:wsp>
                        <wps:cNvPr id="3114" name="Shape 3114"/>
                        <wps:cNvSpPr/>
                        <wps:spPr>
                          <a:xfrm>
                            <a:off x="739966" y="416362"/>
                            <a:ext cx="82970" cy="392038"/>
                          </a:xfrm>
                          <a:custGeom>
                            <a:avLst/>
                            <a:gdLst/>
                            <a:ahLst/>
                            <a:cxnLst/>
                            <a:rect l="0" t="0" r="0" b="0"/>
                            <a:pathLst>
                              <a:path w="82970" h="392038">
                                <a:moveTo>
                                  <a:pt x="34577" y="0"/>
                                </a:moveTo>
                                <a:lnTo>
                                  <a:pt x="48396" y="0"/>
                                </a:lnTo>
                                <a:lnTo>
                                  <a:pt x="48396" y="309067"/>
                                </a:lnTo>
                                <a:lnTo>
                                  <a:pt x="82970" y="309067"/>
                                </a:lnTo>
                                <a:lnTo>
                                  <a:pt x="41486" y="392038"/>
                                </a:lnTo>
                                <a:lnTo>
                                  <a:pt x="0" y="309067"/>
                                </a:lnTo>
                                <a:lnTo>
                                  <a:pt x="34577" y="309067"/>
                                </a:lnTo>
                                <a:lnTo>
                                  <a:pt x="34577"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3115" name="Shape 3115"/>
                        <wps:cNvSpPr/>
                        <wps:spPr>
                          <a:xfrm>
                            <a:off x="2459765" y="416365"/>
                            <a:ext cx="82973" cy="392038"/>
                          </a:xfrm>
                          <a:custGeom>
                            <a:avLst/>
                            <a:gdLst/>
                            <a:ahLst/>
                            <a:cxnLst/>
                            <a:rect l="0" t="0" r="0" b="0"/>
                            <a:pathLst>
                              <a:path w="82973" h="392038">
                                <a:moveTo>
                                  <a:pt x="34580" y="0"/>
                                </a:moveTo>
                                <a:lnTo>
                                  <a:pt x="48399" y="0"/>
                                </a:lnTo>
                                <a:lnTo>
                                  <a:pt x="48399" y="309067"/>
                                </a:lnTo>
                                <a:lnTo>
                                  <a:pt x="82973" y="309067"/>
                                </a:lnTo>
                                <a:lnTo>
                                  <a:pt x="41486" y="392038"/>
                                </a:lnTo>
                                <a:lnTo>
                                  <a:pt x="0" y="309067"/>
                                </a:lnTo>
                                <a:lnTo>
                                  <a:pt x="34580" y="309067"/>
                                </a:lnTo>
                                <a:lnTo>
                                  <a:pt x="34580"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57685" name="Shape 57685"/>
                        <wps:cNvSpPr/>
                        <wps:spPr>
                          <a:xfrm>
                            <a:off x="570249" y="0"/>
                            <a:ext cx="5621030" cy="497829"/>
                          </a:xfrm>
                          <a:custGeom>
                            <a:avLst/>
                            <a:gdLst/>
                            <a:ahLst/>
                            <a:cxnLst/>
                            <a:rect l="0" t="0" r="0" b="0"/>
                            <a:pathLst>
                              <a:path w="5621030" h="497829">
                                <a:moveTo>
                                  <a:pt x="0" y="0"/>
                                </a:moveTo>
                                <a:lnTo>
                                  <a:pt x="5621030" y="0"/>
                                </a:lnTo>
                                <a:lnTo>
                                  <a:pt x="5621030" y="497829"/>
                                </a:lnTo>
                                <a:lnTo>
                                  <a:pt x="0" y="4978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17" name="Shape 3117"/>
                        <wps:cNvSpPr/>
                        <wps:spPr>
                          <a:xfrm>
                            <a:off x="570249" y="1"/>
                            <a:ext cx="5621030" cy="497829"/>
                          </a:xfrm>
                          <a:custGeom>
                            <a:avLst/>
                            <a:gdLst/>
                            <a:ahLst/>
                            <a:cxnLst/>
                            <a:rect l="0" t="0" r="0" b="0"/>
                            <a:pathLst>
                              <a:path w="5621030" h="497829">
                                <a:moveTo>
                                  <a:pt x="0" y="0"/>
                                </a:moveTo>
                                <a:lnTo>
                                  <a:pt x="5621030" y="0"/>
                                </a:lnTo>
                                <a:lnTo>
                                  <a:pt x="5621030" y="497829"/>
                                </a:lnTo>
                                <a:lnTo>
                                  <a:pt x="0" y="497829"/>
                                </a:lnTo>
                                <a:close/>
                              </a:path>
                            </a:pathLst>
                          </a:custGeom>
                          <a:ln w="20743" cap="flat">
                            <a:miter lim="101600"/>
                          </a:ln>
                        </wps:spPr>
                        <wps:style>
                          <a:lnRef idx="1">
                            <a:srgbClr val="1F497D"/>
                          </a:lnRef>
                          <a:fillRef idx="0">
                            <a:srgbClr val="000000">
                              <a:alpha val="0"/>
                            </a:srgbClr>
                          </a:fillRef>
                          <a:effectRef idx="0">
                            <a:scrgbClr r="0" g="0" b="0"/>
                          </a:effectRef>
                          <a:fontRef idx="none"/>
                        </wps:style>
                        <wps:bodyPr/>
                      </wps:wsp>
                      <wps:wsp>
                        <wps:cNvPr id="3118" name="Rectangle 3118"/>
                        <wps:cNvSpPr/>
                        <wps:spPr>
                          <a:xfrm>
                            <a:off x="1401546" y="128684"/>
                            <a:ext cx="503041" cy="154644"/>
                          </a:xfrm>
                          <a:prstGeom prst="rect">
                            <a:avLst/>
                          </a:prstGeom>
                          <a:ln>
                            <a:noFill/>
                          </a:ln>
                        </wps:spPr>
                        <wps:txbx>
                          <w:txbxContent>
                            <w:p w14:paraId="2199A851" w14:textId="77777777" w:rsidR="00A932C3" w:rsidRDefault="00324E68">
                              <w:pPr>
                                <w:spacing w:after="160" w:line="259" w:lineRule="auto"/>
                                <w:ind w:left="0" w:firstLine="0"/>
                              </w:pPr>
                              <w:r>
                                <w:rPr>
                                  <w:sz w:val="19"/>
                                </w:rPr>
                                <w:t xml:space="preserve">Within </w:t>
                              </w:r>
                            </w:p>
                          </w:txbxContent>
                        </wps:txbx>
                        <wps:bodyPr horzOverflow="overflow" vert="horz" lIns="0" tIns="0" rIns="0" bIns="0" rtlCol="0">
                          <a:noAutofit/>
                        </wps:bodyPr>
                      </wps:wsp>
                      <wps:wsp>
                        <wps:cNvPr id="3119" name="Rectangle 3119"/>
                        <wps:cNvSpPr/>
                        <wps:spPr>
                          <a:xfrm>
                            <a:off x="1781833" y="128684"/>
                            <a:ext cx="1342144" cy="154644"/>
                          </a:xfrm>
                          <a:prstGeom prst="rect">
                            <a:avLst/>
                          </a:prstGeom>
                          <a:ln>
                            <a:noFill/>
                          </a:ln>
                        </wps:spPr>
                        <wps:txbx>
                          <w:txbxContent>
                            <w:p w14:paraId="50B3F26A" w14:textId="77777777" w:rsidR="00A932C3" w:rsidRDefault="00324E68">
                              <w:pPr>
                                <w:spacing w:after="160" w:line="259" w:lineRule="auto"/>
                                <w:ind w:left="0" w:firstLine="0"/>
                              </w:pPr>
                              <w:r>
                                <w:rPr>
                                  <w:b/>
                                  <w:sz w:val="19"/>
                                </w:rPr>
                                <w:t xml:space="preserve">one working day </w:t>
                              </w:r>
                            </w:p>
                          </w:txbxContent>
                        </wps:txbx>
                        <wps:bodyPr horzOverflow="overflow" vert="horz" lIns="0" tIns="0" rIns="0" bIns="0" rtlCol="0">
                          <a:noAutofit/>
                        </wps:bodyPr>
                      </wps:wsp>
                      <wps:wsp>
                        <wps:cNvPr id="3120" name="Rectangle 3120"/>
                        <wps:cNvSpPr/>
                        <wps:spPr>
                          <a:xfrm>
                            <a:off x="2798265" y="128684"/>
                            <a:ext cx="3337887" cy="154644"/>
                          </a:xfrm>
                          <a:prstGeom prst="rect">
                            <a:avLst/>
                          </a:prstGeom>
                          <a:ln>
                            <a:noFill/>
                          </a:ln>
                        </wps:spPr>
                        <wps:txbx>
                          <w:txbxContent>
                            <w:p w14:paraId="7C124543" w14:textId="77777777" w:rsidR="00A932C3" w:rsidRDefault="00324E68">
                              <w:pPr>
                                <w:spacing w:after="160" w:line="259" w:lineRule="auto"/>
                                <w:ind w:left="0" w:firstLine="0"/>
                              </w:pPr>
                              <w:r>
                                <w:rPr>
                                  <w:sz w:val="19"/>
                                </w:rPr>
                                <w:t>of receiving a referral from a school or college</w:t>
                              </w:r>
                            </w:p>
                          </w:txbxContent>
                        </wps:txbx>
                        <wps:bodyPr horzOverflow="overflow" vert="horz" lIns="0" tIns="0" rIns="0" bIns="0" rtlCol="0">
                          <a:noAutofit/>
                        </wps:bodyPr>
                      </wps:wsp>
                      <wps:wsp>
                        <wps:cNvPr id="3121" name="Rectangle 3121"/>
                        <wps:cNvSpPr/>
                        <wps:spPr>
                          <a:xfrm>
                            <a:off x="5307879" y="128684"/>
                            <a:ext cx="89881" cy="154644"/>
                          </a:xfrm>
                          <a:prstGeom prst="rect">
                            <a:avLst/>
                          </a:prstGeom>
                          <a:ln>
                            <a:noFill/>
                          </a:ln>
                        </wps:spPr>
                        <wps:txbx>
                          <w:txbxContent>
                            <w:p w14:paraId="3E570B7D" w14:textId="77777777" w:rsidR="00A932C3" w:rsidRDefault="00324E68">
                              <w:pPr>
                                <w:spacing w:after="160" w:line="259" w:lineRule="auto"/>
                                <w:ind w:left="0" w:firstLine="0"/>
                              </w:pPr>
                              <w:r>
                                <w:rPr>
                                  <w:sz w:val="19"/>
                                </w:rPr>
                                <w:t xml:space="preserve">, </w:t>
                              </w:r>
                            </w:p>
                          </w:txbxContent>
                        </wps:txbx>
                        <wps:bodyPr horzOverflow="overflow" vert="horz" lIns="0" tIns="0" rIns="0" bIns="0" rtlCol="0">
                          <a:noAutofit/>
                        </wps:bodyPr>
                      </wps:wsp>
                      <wps:wsp>
                        <wps:cNvPr id="3122" name="Rectangle 3122"/>
                        <wps:cNvSpPr/>
                        <wps:spPr>
                          <a:xfrm>
                            <a:off x="1612418" y="279538"/>
                            <a:ext cx="638331" cy="154644"/>
                          </a:xfrm>
                          <a:prstGeom prst="rect">
                            <a:avLst/>
                          </a:prstGeom>
                          <a:ln>
                            <a:noFill/>
                          </a:ln>
                        </wps:spPr>
                        <wps:txbx>
                          <w:txbxContent>
                            <w:p w14:paraId="0E1BE455" w14:textId="77777777" w:rsidR="00A932C3" w:rsidRDefault="00324E68">
                              <w:pPr>
                                <w:spacing w:after="160" w:line="259" w:lineRule="auto"/>
                                <w:ind w:left="0" w:firstLine="0"/>
                              </w:pPr>
                              <w:r>
                                <w:rPr>
                                  <w:b/>
                                  <w:sz w:val="19"/>
                                </w:rPr>
                                <w:t>children</w:t>
                              </w:r>
                            </w:p>
                          </w:txbxContent>
                        </wps:txbx>
                        <wps:bodyPr horzOverflow="overflow" vert="horz" lIns="0" tIns="0" rIns="0" bIns="0" rtlCol="0">
                          <a:noAutofit/>
                        </wps:bodyPr>
                      </wps:wsp>
                      <wps:wsp>
                        <wps:cNvPr id="3123" name="Rectangle 3123"/>
                        <wps:cNvSpPr/>
                        <wps:spPr>
                          <a:xfrm>
                            <a:off x="2093586" y="279540"/>
                            <a:ext cx="45738" cy="154644"/>
                          </a:xfrm>
                          <a:prstGeom prst="rect">
                            <a:avLst/>
                          </a:prstGeom>
                          <a:ln>
                            <a:noFill/>
                          </a:ln>
                        </wps:spPr>
                        <wps:txbx>
                          <w:txbxContent>
                            <w:p w14:paraId="03AD6C27" w14:textId="77777777" w:rsidR="00A932C3" w:rsidRDefault="00324E68">
                              <w:pPr>
                                <w:spacing w:after="160" w:line="259" w:lineRule="auto"/>
                                <w:ind w:left="0" w:firstLine="0"/>
                              </w:pPr>
                              <w:r>
                                <w:rPr>
                                  <w:b/>
                                  <w:sz w:val="19"/>
                                </w:rPr>
                                <w:t>’</w:t>
                              </w:r>
                            </w:p>
                          </w:txbxContent>
                        </wps:txbx>
                        <wps:bodyPr horzOverflow="overflow" vert="horz" lIns="0" tIns="0" rIns="0" bIns="0" rtlCol="0">
                          <a:noAutofit/>
                        </wps:bodyPr>
                      </wps:wsp>
                      <wps:wsp>
                        <wps:cNvPr id="3124" name="Rectangle 3124"/>
                        <wps:cNvSpPr/>
                        <wps:spPr>
                          <a:xfrm>
                            <a:off x="2127955" y="279540"/>
                            <a:ext cx="1032932" cy="154644"/>
                          </a:xfrm>
                          <a:prstGeom prst="rect">
                            <a:avLst/>
                          </a:prstGeom>
                          <a:ln>
                            <a:noFill/>
                          </a:ln>
                        </wps:spPr>
                        <wps:txbx>
                          <w:txbxContent>
                            <w:p w14:paraId="32D6E631" w14:textId="77777777" w:rsidR="00A932C3" w:rsidRDefault="00324E68">
                              <w:pPr>
                                <w:spacing w:after="160" w:line="259" w:lineRule="auto"/>
                                <w:ind w:left="0" w:firstLine="0"/>
                              </w:pPr>
                              <w:r>
                                <w:rPr>
                                  <w:b/>
                                  <w:sz w:val="19"/>
                                </w:rPr>
                                <w:t xml:space="preserve">s social care </w:t>
                              </w:r>
                            </w:p>
                          </w:txbxContent>
                        </wps:txbx>
                        <wps:bodyPr horzOverflow="overflow" vert="horz" lIns="0" tIns="0" rIns="0" bIns="0" rtlCol="0">
                          <a:noAutofit/>
                        </wps:bodyPr>
                      </wps:wsp>
                      <wps:wsp>
                        <wps:cNvPr id="3125" name="Rectangle 3125"/>
                        <wps:cNvSpPr/>
                        <wps:spPr>
                          <a:xfrm>
                            <a:off x="2912345" y="279540"/>
                            <a:ext cx="888527" cy="154644"/>
                          </a:xfrm>
                          <a:prstGeom prst="rect">
                            <a:avLst/>
                          </a:prstGeom>
                          <a:ln>
                            <a:noFill/>
                          </a:ln>
                        </wps:spPr>
                        <wps:txbx>
                          <w:txbxContent>
                            <w:p w14:paraId="1986D394" w14:textId="77777777" w:rsidR="00A932C3" w:rsidRDefault="00324E68">
                              <w:pPr>
                                <w:spacing w:after="160" w:line="259" w:lineRule="auto"/>
                                <w:ind w:left="0" w:firstLine="0"/>
                              </w:pPr>
                              <w:r>
                                <w:rPr>
                                  <w:sz w:val="19"/>
                                </w:rPr>
                                <w:t xml:space="preserve">decides the </w:t>
                              </w:r>
                            </w:p>
                          </w:txbxContent>
                        </wps:txbx>
                        <wps:bodyPr horzOverflow="overflow" vert="horz" lIns="0" tIns="0" rIns="0" bIns="0" rtlCol="0">
                          <a:noAutofit/>
                        </wps:bodyPr>
                      </wps:wsp>
                      <wps:wsp>
                        <wps:cNvPr id="3126" name="Rectangle 3126"/>
                        <wps:cNvSpPr/>
                        <wps:spPr>
                          <a:xfrm>
                            <a:off x="3583036" y="279540"/>
                            <a:ext cx="2019024" cy="154644"/>
                          </a:xfrm>
                          <a:prstGeom prst="rect">
                            <a:avLst/>
                          </a:prstGeom>
                          <a:ln>
                            <a:noFill/>
                          </a:ln>
                        </wps:spPr>
                        <wps:txbx>
                          <w:txbxContent>
                            <w:p w14:paraId="25A805C0" w14:textId="77777777" w:rsidR="00A932C3" w:rsidRDefault="00324E68">
                              <w:pPr>
                                <w:spacing w:after="160" w:line="259" w:lineRule="auto"/>
                                <w:ind w:left="0" w:firstLine="0"/>
                              </w:pPr>
                              <w:r>
                                <w:rPr>
                                  <w:b/>
                                  <w:sz w:val="19"/>
                                </w:rPr>
                                <w:t>type of response required</w:t>
                              </w:r>
                            </w:p>
                          </w:txbxContent>
                        </wps:txbx>
                        <wps:bodyPr horzOverflow="overflow" vert="horz" lIns="0" tIns="0" rIns="0" bIns="0" rtlCol="0">
                          <a:noAutofit/>
                        </wps:bodyPr>
                      </wps:wsp>
                      <wps:wsp>
                        <wps:cNvPr id="3127" name="Rectangle 3127"/>
                        <wps:cNvSpPr/>
                        <wps:spPr>
                          <a:xfrm>
                            <a:off x="5111123" y="279540"/>
                            <a:ext cx="45738" cy="154644"/>
                          </a:xfrm>
                          <a:prstGeom prst="rect">
                            <a:avLst/>
                          </a:prstGeom>
                          <a:ln>
                            <a:noFill/>
                          </a:ln>
                        </wps:spPr>
                        <wps:txbx>
                          <w:txbxContent>
                            <w:p w14:paraId="7A519260" w14:textId="77777777" w:rsidR="00A932C3" w:rsidRDefault="00324E68">
                              <w:pPr>
                                <w:spacing w:after="160" w:line="259" w:lineRule="auto"/>
                                <w:ind w:left="0" w:firstLine="0"/>
                              </w:pPr>
                              <w:r>
                                <w:rPr>
                                  <w:sz w:val="19"/>
                                </w:rPr>
                                <w:t>.</w:t>
                              </w:r>
                            </w:p>
                          </w:txbxContent>
                        </wps:txbx>
                        <wps:bodyPr horzOverflow="overflow" vert="horz" lIns="0" tIns="0" rIns="0" bIns="0" rtlCol="0">
                          <a:noAutofit/>
                        </wps:bodyPr>
                      </wps:wsp>
                      <wps:wsp>
                        <wps:cNvPr id="3128" name="Shape 3128"/>
                        <wps:cNvSpPr/>
                        <wps:spPr>
                          <a:xfrm>
                            <a:off x="4224822" y="497825"/>
                            <a:ext cx="82973" cy="308204"/>
                          </a:xfrm>
                          <a:custGeom>
                            <a:avLst/>
                            <a:gdLst/>
                            <a:ahLst/>
                            <a:cxnLst/>
                            <a:rect l="0" t="0" r="0" b="0"/>
                            <a:pathLst>
                              <a:path w="82973" h="308204">
                                <a:moveTo>
                                  <a:pt x="34577" y="0"/>
                                </a:moveTo>
                                <a:lnTo>
                                  <a:pt x="48396" y="0"/>
                                </a:lnTo>
                                <a:lnTo>
                                  <a:pt x="48396" y="225233"/>
                                </a:lnTo>
                                <a:lnTo>
                                  <a:pt x="82973" y="225233"/>
                                </a:lnTo>
                                <a:lnTo>
                                  <a:pt x="41486" y="308204"/>
                                </a:lnTo>
                                <a:lnTo>
                                  <a:pt x="0" y="225233"/>
                                </a:lnTo>
                                <a:lnTo>
                                  <a:pt x="34577" y="225233"/>
                                </a:lnTo>
                                <a:lnTo>
                                  <a:pt x="34577"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g:wgp>
                  </a:graphicData>
                </a:graphic>
              </wp:inline>
            </w:drawing>
          </mc:Choice>
          <mc:Fallback xmlns:a="http://schemas.openxmlformats.org/drawingml/2006/main">
            <w:pict>
              <v:group id="Group 52841" style="width:530.266pt;height:157.747pt;mso-position-horizontal-relative:char;mso-position-vertical-relative:line" coordsize="67343,20033">
                <v:shape id="Shape 2958" style="position:absolute;width:15689;height:11978;left:0;top:8055;" coordsize="1568940,1197805" path="m0,0l1568940,0l1568940,1197805l0,1197805x">
                  <v:stroke weight="1.6333pt" endcap="flat" joinstyle="miter" miterlimit="8" on="true" color="#1f497d"/>
                  <v:fill on="false" color="#000000" opacity="0"/>
                </v:shape>
                <v:rect id="Rectangle 2959" style="position:absolute;width:7118;height:1546;left:1462;top:9855;" filled="f" stroked="f">
                  <v:textbox inset="0,0,0,0">
                    <w:txbxContent>
                      <w:p>
                        <w:pPr>
                          <w:spacing w:before="0" w:after="160" w:line="259" w:lineRule="auto"/>
                          <w:ind w:left="0" w:firstLine="0"/>
                        </w:pPr>
                        <w:r>
                          <w:rPr>
                            <w:color w:val="0d0d0d"/>
                            <w:sz w:val="19"/>
                          </w:rPr>
                          <w:t xml:space="preserve">The child </w:t>
                        </w:r>
                      </w:p>
                    </w:txbxContent>
                  </v:textbox>
                </v:rect>
                <v:rect id="Rectangle 2960" style="position:absolute;width:10168;height:1546;left:6855;top:9855;" filled="f" stroked="f">
                  <v:textbox inset="0,0,0,0">
                    <w:txbxContent>
                      <w:p>
                        <w:pPr>
                          <w:spacing w:before="0" w:after="160" w:line="259" w:lineRule="auto"/>
                          <w:ind w:left="0" w:firstLine="0"/>
                        </w:pPr>
                        <w:r>
                          <w:rPr>
                            <w:color w:val="0d0d0d"/>
                            <w:sz w:val="19"/>
                          </w:rPr>
                          <w:t xml:space="preserve">is considered </w:t>
                        </w:r>
                      </w:p>
                    </w:txbxContent>
                  </v:textbox>
                </v:rect>
                <v:rect id="Rectangle 2961" style="position:absolute;width:3643;height:1546;left:3536;top:11364;" filled="f" stroked="f">
                  <v:textbox inset="0,0,0,0">
                    <w:txbxContent>
                      <w:p>
                        <w:pPr>
                          <w:spacing w:before="0" w:after="160" w:line="259" w:lineRule="auto"/>
                          <w:ind w:left="0" w:firstLine="0"/>
                        </w:pPr>
                        <w:r>
                          <w:rPr>
                            <w:color w:val="0d0d0d"/>
                            <w:sz w:val="19"/>
                          </w:rPr>
                          <w:t xml:space="preserve">to be</w:t>
                        </w:r>
                      </w:p>
                    </w:txbxContent>
                  </v:textbox>
                </v:rect>
                <v:rect id="Rectangle 2962" style="position:absolute;width:7680;height:1546;left:6648;top:11364;" filled="f" stroked="f">
                  <v:textbox inset="0,0,0,0">
                    <w:txbxContent>
                      <w:p>
                        <w:pPr>
                          <w:spacing w:before="0" w:after="160" w:line="259" w:lineRule="auto"/>
                          <w:ind w:left="0" w:firstLine="0"/>
                        </w:pPr>
                        <w:r>
                          <w:rPr>
                            <w:color w:val="0d0d0d"/>
                            <w:sz w:val="19"/>
                          </w:rPr>
                          <w:t xml:space="preserve">in need of </w:t>
                        </w:r>
                      </w:p>
                    </w:txbxContent>
                  </v:textbox>
                </v:rect>
                <v:rect id="Rectangle 2963" style="position:absolute;width:16657;height:1546;left:1358;top:12842;" filled="f" stroked="f">
                  <v:textbox inset="0,0,0,0">
                    <w:txbxContent>
                      <w:p>
                        <w:pPr>
                          <w:spacing w:before="0" w:after="160" w:line="259" w:lineRule="auto"/>
                          <w:ind w:left="0" w:firstLine="0"/>
                        </w:pPr>
                        <w:r>
                          <w:rPr>
                            <w:rFonts w:cs="Arial" w:hAnsi="Arial" w:eastAsia="Arial" w:ascii="Arial"/>
                            <w:b w:val="1"/>
                            <w:color w:val="0d0d0d"/>
                            <w:sz w:val="19"/>
                          </w:rPr>
                          <w:t xml:space="preserve">immediate protection</w:t>
                        </w:r>
                      </w:p>
                    </w:txbxContent>
                  </v:textbox>
                </v:rect>
                <v:rect id="Rectangle 2964" style="position:absolute;width:898;height:1546;left:13942;top:12842;" filled="f" stroked="f">
                  <v:textbox inset="0,0,0,0">
                    <w:txbxContent>
                      <w:p>
                        <w:pPr>
                          <w:spacing w:before="0" w:after="160" w:line="259" w:lineRule="auto"/>
                          <w:ind w:left="0" w:firstLine="0"/>
                        </w:pPr>
                        <w:r>
                          <w:rPr>
                            <w:color w:val="0d0d0d"/>
                            <w:sz w:val="19"/>
                          </w:rPr>
                          <w:t xml:space="preserve">. </w:t>
                        </w:r>
                      </w:p>
                    </w:txbxContent>
                  </v:textbox>
                </v:rect>
                <v:rect id="Rectangle 2965" style="position:absolute;width:6663;height:1546;left:1393;top:14351;" filled="f" stroked="f">
                  <v:textbox inset="0,0,0,0">
                    <w:txbxContent>
                      <w:p>
                        <w:pPr>
                          <w:spacing w:before="0" w:after="160" w:line="259" w:lineRule="auto"/>
                          <w:ind w:left="0" w:firstLine="0"/>
                        </w:pPr>
                        <w:r>
                          <w:rPr>
                            <w:rFonts w:cs="Arial" w:hAnsi="Arial" w:eastAsia="Arial" w:ascii="Arial"/>
                            <w:b w:val="1"/>
                            <w:color w:val="0d0d0d"/>
                            <w:sz w:val="19"/>
                          </w:rPr>
                          <w:t xml:space="preserve">Children</w:t>
                        </w:r>
                      </w:p>
                    </w:txbxContent>
                  </v:textbox>
                </v:rect>
                <v:rect id="Rectangle 2966" style="position:absolute;width:457;height:1546;left:6410;top:14351;" filled="f" stroked="f">
                  <v:textbox inset="0,0,0,0">
                    <w:txbxContent>
                      <w:p>
                        <w:pPr>
                          <w:spacing w:before="0" w:after="160" w:line="259" w:lineRule="auto"/>
                          <w:ind w:left="0" w:firstLine="0"/>
                        </w:pPr>
                        <w:r>
                          <w:rPr>
                            <w:rFonts w:cs="Arial" w:hAnsi="Arial" w:eastAsia="Arial" w:ascii="Arial"/>
                            <w:b w:val="1"/>
                            <w:color w:val="0d0d0d"/>
                            <w:sz w:val="19"/>
                          </w:rPr>
                          <w:t xml:space="preserve">’</w:t>
                        </w:r>
                      </w:p>
                    </w:txbxContent>
                  </v:textbox>
                </v:rect>
                <v:rect id="Rectangle 2967" style="position:absolute;width:10329;height:1546;left:6753;top:14351;" filled="f" stroked="f">
                  <v:textbox inset="0,0,0,0">
                    <w:txbxContent>
                      <w:p>
                        <w:pPr>
                          <w:spacing w:before="0" w:after="160" w:line="259" w:lineRule="auto"/>
                          <w:ind w:left="0" w:firstLine="0"/>
                        </w:pPr>
                        <w:r>
                          <w:rPr>
                            <w:rFonts w:cs="Arial" w:hAnsi="Arial" w:eastAsia="Arial" w:ascii="Arial"/>
                            <w:b w:val="1"/>
                            <w:color w:val="0d0d0d"/>
                            <w:sz w:val="19"/>
                          </w:rPr>
                          <w:t xml:space="preserve">s social care </w:t>
                        </w:r>
                      </w:p>
                    </w:txbxContent>
                  </v:textbox>
                </v:rect>
                <v:rect id="Rectangle 2968" style="position:absolute;width:15184;height:1546;left:2257;top:15829;" filled="f" stroked="f">
                  <v:textbox inset="0,0,0,0">
                    <w:txbxContent>
                      <w:p>
                        <w:pPr>
                          <w:spacing w:before="0" w:after="160" w:line="259" w:lineRule="auto"/>
                          <w:ind w:left="0" w:firstLine="0"/>
                        </w:pPr>
                        <w:r>
                          <w:rPr>
                            <w:color w:val="0d0d0d"/>
                            <w:sz w:val="19"/>
                          </w:rPr>
                          <w:t xml:space="preserve">informs the referring </w:t>
                        </w:r>
                      </w:p>
                    </w:txbxContent>
                  </v:textbox>
                </v:rect>
                <v:rect id="Rectangle 2969" style="position:absolute;width:12351;height:1546;left:2983;top:17338;" filled="f" stroked="f">
                  <v:textbox inset="0,0,0,0">
                    <w:txbxContent>
                      <w:p>
                        <w:pPr>
                          <w:spacing w:before="0" w:after="160" w:line="259" w:lineRule="auto"/>
                          <w:ind w:left="0" w:firstLine="0"/>
                        </w:pPr>
                        <w:r>
                          <w:rPr>
                            <w:color w:val="0d0d0d"/>
                            <w:sz w:val="19"/>
                          </w:rPr>
                          <w:t xml:space="preserve">school or college</w:t>
                        </w:r>
                      </w:p>
                    </w:txbxContent>
                  </v:textbox>
                </v:rect>
                <v:rect id="Rectangle 2970" style="position:absolute;width:457;height:1546;left:12266;top:17338;" filled="f" stroked="f">
                  <v:textbox inset="0,0,0,0">
                    <w:txbxContent>
                      <w:p>
                        <w:pPr>
                          <w:spacing w:before="0" w:after="160" w:line="259" w:lineRule="auto"/>
                          <w:ind w:left="0" w:firstLine="0"/>
                        </w:pPr>
                        <w:r>
                          <w:rPr>
                            <w:color w:val="0d0d0d"/>
                            <w:sz w:val="19"/>
                          </w:rPr>
                          <w:t xml:space="preserve">.</w:t>
                        </w:r>
                      </w:p>
                    </w:txbxContent>
                  </v:textbox>
                </v:rect>
                <v:shape id="Shape 2972" style="position:absolute;width:16504;height:11978;left:16926;top:8055;" coordsize="1650404,1197805" path="m0,0l1650404,0l1650404,1197805l0,1197805x">
                  <v:stroke weight="1.6333pt" endcap="flat" joinstyle="miter" miterlimit="8" on="true" color="#1f497d"/>
                  <v:fill on="false" color="#000000" opacity="0"/>
                </v:shape>
                <v:rect id="Rectangle 2973" style="position:absolute;width:6397;height:1546;left:18034;top:10609;" filled="f" stroked="f">
                  <v:textbox inset="0,0,0,0">
                    <w:txbxContent>
                      <w:p>
                        <w:pPr>
                          <w:spacing w:before="0" w:after="160" w:line="259" w:lineRule="auto"/>
                          <w:ind w:left="0" w:firstLine="0"/>
                        </w:pPr>
                        <w:r>
                          <w:rPr>
                            <w:rFonts w:cs="Arial" w:hAnsi="Arial" w:eastAsia="Arial" w:ascii="Arial"/>
                            <w:b w:val="1"/>
                            <w:color w:val="0d0d0d"/>
                            <w:sz w:val="19"/>
                          </w:rPr>
                          <w:t xml:space="preserve">Section </w:t>
                        </w:r>
                      </w:p>
                    </w:txbxContent>
                  </v:textbox>
                </v:rect>
                <v:rect id="Rectangle 2974" style="position:absolute;width:1837;height:1546;left:22845;top:10609;" filled="f" stroked="f">
                  <v:textbox inset="0,0,0,0">
                    <w:txbxContent>
                      <w:p>
                        <w:pPr>
                          <w:spacing w:before="0" w:after="160" w:line="259" w:lineRule="auto"/>
                          <w:ind w:left="0" w:firstLine="0"/>
                        </w:pPr>
                        <w:r>
                          <w:rPr>
                            <w:rFonts w:cs="Arial" w:hAnsi="Arial" w:eastAsia="Arial" w:ascii="Arial"/>
                            <w:b w:val="1"/>
                            <w:color w:val="0d0d0d"/>
                            <w:sz w:val="19"/>
                          </w:rPr>
                          <w:t xml:space="preserve">47</w:t>
                        </w:r>
                      </w:p>
                    </w:txbxContent>
                  </v:textbox>
                </v:rect>
                <v:rect id="Rectangle 2975" style="position:absolute;width:7296;height:1546;left:24602;top:10609;" filled="f" stroked="f">
                  <v:textbox inset="0,0,0,0">
                    <w:txbxContent>
                      <w:p>
                        <w:pPr>
                          <w:spacing w:before="0" w:after="160" w:line="259" w:lineRule="auto"/>
                          <w:ind w:left="0" w:firstLine="0"/>
                        </w:pPr>
                        <w:r>
                          <w:rPr>
                            <w:rFonts w:cs="Arial" w:hAnsi="Arial" w:eastAsia="Arial" w:ascii="Arial"/>
                            <w:b w:val="1"/>
                            <w:color w:val="0d0d0d"/>
                            <w:sz w:val="19"/>
                          </w:rPr>
                          <w:t xml:space="preserve">enquiries</w:t>
                        </w:r>
                      </w:p>
                    </w:txbxContent>
                  </v:textbox>
                </v:rect>
                <v:rect id="Rectangle 2976" style="position:absolute;width:2824;height:1546;left:30479;top:10609;" filled="f" stroked="f">
                  <v:textbox inset="0,0,0,0">
                    <w:txbxContent>
                      <w:p>
                        <w:pPr>
                          <w:spacing w:before="0" w:after="160" w:line="259" w:lineRule="auto"/>
                          <w:ind w:left="0" w:firstLine="0"/>
                        </w:pPr>
                        <w:r>
                          <w:rPr>
                            <w:color w:val="0d0d0d"/>
                            <w:sz w:val="19"/>
                          </w:rPr>
                          <w:t xml:space="preserve">are </w:t>
                        </w:r>
                      </w:p>
                    </w:txbxContent>
                  </v:textbox>
                </v:rect>
                <v:rect id="Rectangle 2977" style="position:absolute;width:16845;height:1546;left:18621;top:12118;" filled="f" stroked="f">
                  <v:textbox inset="0,0,0,0">
                    <w:txbxContent>
                      <w:p>
                        <w:pPr>
                          <w:spacing w:before="0" w:after="160" w:line="259" w:lineRule="auto"/>
                          <w:ind w:left="0" w:firstLine="0"/>
                        </w:pPr>
                        <w:r>
                          <w:rPr>
                            <w:color w:val="0d0d0d"/>
                            <w:sz w:val="19"/>
                          </w:rPr>
                          <w:t xml:space="preserve">considered appropriate</w:t>
                        </w:r>
                      </w:p>
                    </w:txbxContent>
                  </v:textbox>
                </v:rect>
                <v:rect id="Rectangle 2978" style="position:absolute;width:898;height:1546;left:31275;top:12118;" filled="f" stroked="f">
                  <v:textbox inset="0,0,0,0">
                    <w:txbxContent>
                      <w:p>
                        <w:pPr>
                          <w:spacing w:before="0" w:after="160" w:line="259" w:lineRule="auto"/>
                          <w:ind w:left="0" w:firstLine="0"/>
                        </w:pPr>
                        <w:r>
                          <w:rPr>
                            <w:color w:val="0d0d0d"/>
                            <w:sz w:val="19"/>
                          </w:rPr>
                          <w:t xml:space="preserve">. </w:t>
                        </w:r>
                      </w:p>
                    </w:txbxContent>
                  </v:textbox>
                </v:rect>
                <v:rect id="Rectangle 2979" style="position:absolute;width:6663;height:1546;left:18725;top:13596;" filled="f" stroked="f">
                  <v:textbox inset="0,0,0,0">
                    <w:txbxContent>
                      <w:p>
                        <w:pPr>
                          <w:spacing w:before="0" w:after="160" w:line="259" w:lineRule="auto"/>
                          <w:ind w:left="0" w:firstLine="0"/>
                        </w:pPr>
                        <w:r>
                          <w:rPr>
                            <w:rFonts w:cs="Arial" w:hAnsi="Arial" w:eastAsia="Arial" w:ascii="Arial"/>
                            <w:b w:val="1"/>
                            <w:color w:val="0d0d0d"/>
                            <w:sz w:val="19"/>
                          </w:rPr>
                          <w:t xml:space="preserve">Children</w:t>
                        </w:r>
                      </w:p>
                    </w:txbxContent>
                  </v:textbox>
                </v:rect>
                <v:rect id="Rectangle 2980" style="position:absolute;width:457;height:1546;left:23742;top:13596;" filled="f" stroked="f">
                  <v:textbox inset="0,0,0,0">
                    <w:txbxContent>
                      <w:p>
                        <w:pPr>
                          <w:spacing w:before="0" w:after="160" w:line="259" w:lineRule="auto"/>
                          <w:ind w:left="0" w:firstLine="0"/>
                        </w:pPr>
                        <w:r>
                          <w:rPr>
                            <w:rFonts w:cs="Arial" w:hAnsi="Arial" w:eastAsia="Arial" w:ascii="Arial"/>
                            <w:b w:val="1"/>
                            <w:color w:val="0d0d0d"/>
                            <w:sz w:val="19"/>
                          </w:rPr>
                          <w:t xml:space="preserve">’</w:t>
                        </w:r>
                      </w:p>
                    </w:txbxContent>
                  </v:textbox>
                </v:rect>
                <v:rect id="Rectangle 2981" style="position:absolute;width:10329;height:1546;left:24086;top:13596;" filled="f" stroked="f">
                  <v:textbox inset="0,0,0,0">
                    <w:txbxContent>
                      <w:p>
                        <w:pPr>
                          <w:spacing w:before="0" w:after="160" w:line="259" w:lineRule="auto"/>
                          <w:ind w:left="0" w:firstLine="0"/>
                        </w:pPr>
                        <w:r>
                          <w:rPr>
                            <w:rFonts w:cs="Arial" w:hAnsi="Arial" w:eastAsia="Arial" w:ascii="Arial"/>
                            <w:b w:val="1"/>
                            <w:color w:val="0d0d0d"/>
                            <w:sz w:val="19"/>
                          </w:rPr>
                          <w:t xml:space="preserve">s social care </w:t>
                        </w:r>
                      </w:p>
                    </w:txbxContent>
                  </v:textbox>
                </v:rect>
                <v:rect id="Rectangle 2982" style="position:absolute;width:15184;height:1546;left:19589;top:15105;" filled="f" stroked="f">
                  <v:textbox inset="0,0,0,0">
                    <w:txbxContent>
                      <w:p>
                        <w:pPr>
                          <w:spacing w:before="0" w:after="160" w:line="259" w:lineRule="auto"/>
                          <w:ind w:left="0" w:firstLine="0"/>
                        </w:pPr>
                        <w:r>
                          <w:rPr>
                            <w:color w:val="0d0d0d"/>
                            <w:sz w:val="19"/>
                          </w:rPr>
                          <w:t xml:space="preserve">informs the referring </w:t>
                        </w:r>
                      </w:p>
                    </w:txbxContent>
                  </v:textbox>
                </v:rect>
                <v:rect id="Rectangle 2983" style="position:absolute;width:12351;height:1546;left:20315;top:16583;" filled="f" stroked="f">
                  <v:textbox inset="0,0,0,0">
                    <w:txbxContent>
                      <w:p>
                        <w:pPr>
                          <w:spacing w:before="0" w:after="160" w:line="259" w:lineRule="auto"/>
                          <w:ind w:left="0" w:firstLine="0"/>
                        </w:pPr>
                        <w:r>
                          <w:rPr>
                            <w:color w:val="0d0d0d"/>
                            <w:sz w:val="19"/>
                          </w:rPr>
                          <w:t xml:space="preserve">school or college</w:t>
                        </w:r>
                      </w:p>
                    </w:txbxContent>
                  </v:textbox>
                </v:rect>
                <v:rect id="Rectangle 2984" style="position:absolute;width:457;height:1546;left:29598;top:16583;" filled="f" stroked="f">
                  <v:textbox inset="0,0,0,0">
                    <w:txbxContent>
                      <w:p>
                        <w:pPr>
                          <w:spacing w:before="0" w:after="160" w:line="259" w:lineRule="auto"/>
                          <w:ind w:left="0" w:firstLine="0"/>
                        </w:pPr>
                        <w:r>
                          <w:rPr>
                            <w:color w:val="0d0d0d"/>
                            <w:sz w:val="19"/>
                          </w:rPr>
                          <w:t xml:space="preserve">.</w:t>
                        </w:r>
                      </w:p>
                    </w:txbxContent>
                  </v:textbox>
                </v:rect>
                <v:shape id="Shape 2986" style="position:absolute;width:16262;height:11947;left:34607;top:8055;" coordsize="1626267,1194788" path="m0,0l1626267,0l1626267,1194788l0,1194788x">
                  <v:stroke weight="1.6333pt" endcap="flat" joinstyle="miter" miterlimit="8" on="true" color="#1f497d"/>
                  <v:fill on="false" color="#000000" opacity="0"/>
                </v:shape>
                <v:rect id="Rectangle 2987" style="position:absolute;width:6397;height:1546;left:35601;top:10609;" filled="f" stroked="f">
                  <v:textbox inset="0,0,0,0">
                    <w:txbxContent>
                      <w:p>
                        <w:pPr>
                          <w:spacing w:before="0" w:after="160" w:line="259" w:lineRule="auto"/>
                          <w:ind w:left="0" w:firstLine="0"/>
                        </w:pPr>
                        <w:r>
                          <w:rPr>
                            <w:rFonts w:cs="Arial" w:hAnsi="Arial" w:eastAsia="Arial" w:ascii="Arial"/>
                            <w:b w:val="1"/>
                            <w:color w:val="0d0d0d"/>
                            <w:sz w:val="19"/>
                          </w:rPr>
                          <w:t xml:space="preserve">Section </w:t>
                        </w:r>
                      </w:p>
                    </w:txbxContent>
                  </v:textbox>
                </v:rect>
                <v:rect id="Rectangle 2988" style="position:absolute;width:1837;height:1546;left:40413;top:10609;" filled="f" stroked="f">
                  <v:textbox inset="0,0,0,0">
                    <w:txbxContent>
                      <w:p>
                        <w:pPr>
                          <w:spacing w:before="0" w:after="160" w:line="259" w:lineRule="auto"/>
                          <w:ind w:left="0" w:firstLine="0"/>
                        </w:pPr>
                        <w:r>
                          <w:rPr>
                            <w:rFonts w:cs="Arial" w:hAnsi="Arial" w:eastAsia="Arial" w:ascii="Arial"/>
                            <w:b w:val="1"/>
                            <w:color w:val="0d0d0d"/>
                            <w:sz w:val="19"/>
                          </w:rPr>
                          <w:t xml:space="preserve">17</w:t>
                        </w:r>
                      </w:p>
                    </w:txbxContent>
                  </v:textbox>
                </v:rect>
                <v:rect id="Rectangle 2989" style="position:absolute;width:7296;height:1546;left:42170;top:10609;" filled="f" stroked="f">
                  <v:textbox inset="0,0,0,0">
                    <w:txbxContent>
                      <w:p>
                        <w:pPr>
                          <w:spacing w:before="0" w:after="160" w:line="259" w:lineRule="auto"/>
                          <w:ind w:left="0" w:firstLine="0"/>
                        </w:pPr>
                        <w:r>
                          <w:rPr>
                            <w:rFonts w:cs="Arial" w:hAnsi="Arial" w:eastAsia="Arial" w:ascii="Arial"/>
                            <w:b w:val="1"/>
                            <w:color w:val="0d0d0d"/>
                            <w:sz w:val="19"/>
                          </w:rPr>
                          <w:t xml:space="preserve">enquiries</w:t>
                        </w:r>
                      </w:p>
                    </w:txbxContent>
                  </v:textbox>
                </v:rect>
                <v:rect id="Rectangle 2990" style="position:absolute;width:2824;height:1546;left:48047;top:10609;" filled="f" stroked="f">
                  <v:textbox inset="0,0,0,0">
                    <w:txbxContent>
                      <w:p>
                        <w:pPr>
                          <w:spacing w:before="0" w:after="160" w:line="259" w:lineRule="auto"/>
                          <w:ind w:left="0" w:firstLine="0"/>
                        </w:pPr>
                        <w:r>
                          <w:rPr>
                            <w:color w:val="0d0d0d"/>
                            <w:sz w:val="19"/>
                          </w:rPr>
                          <w:t xml:space="preserve">are </w:t>
                        </w:r>
                      </w:p>
                    </w:txbxContent>
                  </v:textbox>
                </v:rect>
                <v:rect id="Rectangle 2991" style="position:absolute;width:16845;height:1546;left:36189;top:12118;" filled="f" stroked="f">
                  <v:textbox inset="0,0,0,0">
                    <w:txbxContent>
                      <w:p>
                        <w:pPr>
                          <w:spacing w:before="0" w:after="160" w:line="259" w:lineRule="auto"/>
                          <w:ind w:left="0" w:firstLine="0"/>
                        </w:pPr>
                        <w:r>
                          <w:rPr>
                            <w:color w:val="0d0d0d"/>
                            <w:sz w:val="19"/>
                          </w:rPr>
                          <w:t xml:space="preserve">considered appropriate</w:t>
                        </w:r>
                      </w:p>
                    </w:txbxContent>
                  </v:textbox>
                </v:rect>
                <v:rect id="Rectangle 2992" style="position:absolute;width:898;height:1546;left:48843;top:12118;" filled="f" stroked="f">
                  <v:textbox inset="0,0,0,0">
                    <w:txbxContent>
                      <w:p>
                        <w:pPr>
                          <w:spacing w:before="0" w:after="160" w:line="259" w:lineRule="auto"/>
                          <w:ind w:left="0" w:firstLine="0"/>
                        </w:pPr>
                        <w:r>
                          <w:rPr>
                            <w:color w:val="0d0d0d"/>
                            <w:sz w:val="19"/>
                          </w:rPr>
                          <w:t xml:space="preserve">. </w:t>
                        </w:r>
                      </w:p>
                    </w:txbxContent>
                  </v:textbox>
                </v:rect>
                <v:rect id="Rectangle 2993" style="position:absolute;width:6663;height:1546;left:36293;top:13596;" filled="f" stroked="f">
                  <v:textbox inset="0,0,0,0">
                    <w:txbxContent>
                      <w:p>
                        <w:pPr>
                          <w:spacing w:before="0" w:after="160" w:line="259" w:lineRule="auto"/>
                          <w:ind w:left="0" w:firstLine="0"/>
                        </w:pPr>
                        <w:r>
                          <w:rPr>
                            <w:rFonts w:cs="Arial" w:hAnsi="Arial" w:eastAsia="Arial" w:ascii="Arial"/>
                            <w:b w:val="1"/>
                            <w:color w:val="0d0d0d"/>
                            <w:sz w:val="19"/>
                          </w:rPr>
                          <w:t xml:space="preserve">Children</w:t>
                        </w:r>
                      </w:p>
                    </w:txbxContent>
                  </v:textbox>
                </v:rect>
                <v:rect id="Rectangle 2994" style="position:absolute;width:457;height:1546;left:41310;top:13596;" filled="f" stroked="f">
                  <v:textbox inset="0,0,0,0">
                    <w:txbxContent>
                      <w:p>
                        <w:pPr>
                          <w:spacing w:before="0" w:after="160" w:line="259" w:lineRule="auto"/>
                          <w:ind w:left="0" w:firstLine="0"/>
                        </w:pPr>
                        <w:r>
                          <w:rPr>
                            <w:rFonts w:cs="Arial" w:hAnsi="Arial" w:eastAsia="Arial" w:ascii="Arial"/>
                            <w:b w:val="1"/>
                            <w:color w:val="0d0d0d"/>
                            <w:sz w:val="19"/>
                          </w:rPr>
                          <w:t xml:space="preserve">’</w:t>
                        </w:r>
                      </w:p>
                    </w:txbxContent>
                  </v:textbox>
                </v:rect>
                <v:rect id="Rectangle 2995" style="position:absolute;width:10329;height:1546;left:41653;top:13596;" filled="f" stroked="f">
                  <v:textbox inset="0,0,0,0">
                    <w:txbxContent>
                      <w:p>
                        <w:pPr>
                          <w:spacing w:before="0" w:after="160" w:line="259" w:lineRule="auto"/>
                          <w:ind w:left="0" w:firstLine="0"/>
                        </w:pPr>
                        <w:r>
                          <w:rPr>
                            <w:rFonts w:cs="Arial" w:hAnsi="Arial" w:eastAsia="Arial" w:ascii="Arial"/>
                            <w:b w:val="1"/>
                            <w:color w:val="0d0d0d"/>
                            <w:sz w:val="19"/>
                          </w:rPr>
                          <w:t xml:space="preserve">s social care </w:t>
                        </w:r>
                      </w:p>
                    </w:txbxContent>
                  </v:textbox>
                </v:rect>
                <v:rect id="Rectangle 2996" style="position:absolute;width:15184;height:1546;left:37157;top:15105;" filled="f" stroked="f">
                  <v:textbox inset="0,0,0,0">
                    <w:txbxContent>
                      <w:p>
                        <w:pPr>
                          <w:spacing w:before="0" w:after="160" w:line="259" w:lineRule="auto"/>
                          <w:ind w:left="0" w:firstLine="0"/>
                        </w:pPr>
                        <w:r>
                          <w:rPr>
                            <w:color w:val="0d0d0d"/>
                            <w:sz w:val="19"/>
                          </w:rPr>
                          <w:t xml:space="preserve">informs the referring </w:t>
                        </w:r>
                      </w:p>
                    </w:txbxContent>
                  </v:textbox>
                </v:rect>
                <v:rect id="Rectangle 2997" style="position:absolute;width:12351;height:1546;left:37883;top:16583;" filled="f" stroked="f">
                  <v:textbox inset="0,0,0,0">
                    <w:txbxContent>
                      <w:p>
                        <w:pPr>
                          <w:spacing w:before="0" w:after="160" w:line="259" w:lineRule="auto"/>
                          <w:ind w:left="0" w:firstLine="0"/>
                        </w:pPr>
                        <w:r>
                          <w:rPr>
                            <w:color w:val="0d0d0d"/>
                            <w:sz w:val="19"/>
                          </w:rPr>
                          <w:t xml:space="preserve">school or college</w:t>
                        </w:r>
                      </w:p>
                    </w:txbxContent>
                  </v:textbox>
                </v:rect>
                <v:rect id="Rectangle 2998" style="position:absolute;width:457;height:1546;left:47166;top:16583;" filled="f" stroked="f">
                  <v:textbox inset="0,0,0,0">
                    <w:txbxContent>
                      <w:p>
                        <w:pPr>
                          <w:spacing w:before="0" w:after="160" w:line="259" w:lineRule="auto"/>
                          <w:ind w:left="0" w:firstLine="0"/>
                        </w:pPr>
                        <w:r>
                          <w:rPr>
                            <w:color w:val="0d0d0d"/>
                            <w:sz w:val="19"/>
                          </w:rPr>
                          <w:t xml:space="preserve">.</w:t>
                        </w:r>
                      </w:p>
                    </w:txbxContent>
                  </v:textbox>
                </v:rect>
                <v:shape id="Shape 3000" style="position:absolute;width:15297;height:11947;left:52046;top:8085;" coordsize="1529717,1194788" path="m0,0l1529717,0l1529717,1194788l0,1194788x">
                  <v:stroke weight="1.6333pt" endcap="flat" joinstyle="miter" miterlimit="8" on="true" color="#1f497d"/>
                  <v:fill on="false" color="#000000" opacity="0"/>
                </v:shape>
                <v:rect id="Rectangle 3001" style="position:absolute;width:16829;height:1546;left:53501;top:10609;" filled="f" stroked="f">
                  <v:textbox inset="0,0,0,0">
                    <w:txbxContent>
                      <w:p>
                        <w:pPr>
                          <w:spacing w:before="0" w:after="160" w:line="259" w:lineRule="auto"/>
                          <w:ind w:left="0" w:firstLine="0"/>
                        </w:pPr>
                        <w:r>
                          <w:rPr>
                            <w:color w:val="0d0d0d"/>
                            <w:sz w:val="19"/>
                          </w:rPr>
                          <w:t xml:space="preserve">No formal assessment </w:t>
                        </w:r>
                      </w:p>
                    </w:txbxContent>
                  </v:textbox>
                </v:rect>
                <v:rect id="Rectangle 3002" style="position:absolute;width:7696;height:1546;left:56612;top:12118;" filled="f" stroked="f">
                  <v:textbox inset="0,0,0,0">
                    <w:txbxContent>
                      <w:p>
                        <w:pPr>
                          <w:spacing w:before="0" w:after="160" w:line="259" w:lineRule="auto"/>
                          <w:ind w:left="0" w:firstLine="0"/>
                        </w:pPr>
                        <w:r>
                          <w:rPr>
                            <w:color w:val="0d0d0d"/>
                            <w:sz w:val="19"/>
                          </w:rPr>
                          <w:t xml:space="preserve">is required</w:t>
                        </w:r>
                      </w:p>
                    </w:txbxContent>
                  </v:textbox>
                </v:rect>
                <v:rect id="Rectangle 3003" style="position:absolute;width:898;height:1546;left:62388;top:12118;" filled="f" stroked="f">
                  <v:textbox inset="0,0,0,0">
                    <w:txbxContent>
                      <w:p>
                        <w:pPr>
                          <w:spacing w:before="0" w:after="160" w:line="259" w:lineRule="auto"/>
                          <w:ind w:left="0" w:firstLine="0"/>
                        </w:pPr>
                        <w:r>
                          <w:rPr>
                            <w:color w:val="0d0d0d"/>
                            <w:sz w:val="19"/>
                          </w:rPr>
                          <w:t xml:space="preserve">. </w:t>
                        </w:r>
                      </w:p>
                    </w:txbxContent>
                  </v:textbox>
                </v:rect>
                <v:rect id="Rectangle 3004" style="position:absolute;width:6663;height:1546;left:53259;top:13596;" filled="f" stroked="f">
                  <v:textbox inset="0,0,0,0">
                    <w:txbxContent>
                      <w:p>
                        <w:pPr>
                          <w:spacing w:before="0" w:after="160" w:line="259" w:lineRule="auto"/>
                          <w:ind w:left="0" w:firstLine="0"/>
                        </w:pPr>
                        <w:r>
                          <w:rPr>
                            <w:rFonts w:cs="Arial" w:hAnsi="Arial" w:eastAsia="Arial" w:ascii="Arial"/>
                            <w:b w:val="1"/>
                            <w:color w:val="0d0d0d"/>
                            <w:sz w:val="19"/>
                          </w:rPr>
                          <w:t xml:space="preserve">Children</w:t>
                        </w:r>
                      </w:p>
                    </w:txbxContent>
                  </v:textbox>
                </v:rect>
                <v:rect id="Rectangle 3005" style="position:absolute;width:457;height:1546;left:58276;top:13596;" filled="f" stroked="f">
                  <v:textbox inset="0,0,0,0">
                    <w:txbxContent>
                      <w:p>
                        <w:pPr>
                          <w:spacing w:before="0" w:after="160" w:line="259" w:lineRule="auto"/>
                          <w:ind w:left="0" w:firstLine="0"/>
                        </w:pPr>
                        <w:r>
                          <w:rPr>
                            <w:rFonts w:cs="Arial" w:hAnsi="Arial" w:eastAsia="Arial" w:ascii="Arial"/>
                            <w:b w:val="1"/>
                            <w:color w:val="0d0d0d"/>
                            <w:sz w:val="19"/>
                          </w:rPr>
                          <w:t xml:space="preserve">’</w:t>
                        </w:r>
                      </w:p>
                    </w:txbxContent>
                  </v:textbox>
                </v:rect>
                <v:rect id="Rectangle 3006" style="position:absolute;width:10329;height:1546;left:58620;top:13596;" filled="f" stroked="f">
                  <v:textbox inset="0,0,0,0">
                    <w:txbxContent>
                      <w:p>
                        <w:pPr>
                          <w:spacing w:before="0" w:after="160" w:line="259" w:lineRule="auto"/>
                          <w:ind w:left="0" w:firstLine="0"/>
                        </w:pPr>
                        <w:r>
                          <w:rPr>
                            <w:rFonts w:cs="Arial" w:hAnsi="Arial" w:eastAsia="Arial" w:ascii="Arial"/>
                            <w:b w:val="1"/>
                            <w:color w:val="0d0d0d"/>
                            <w:sz w:val="19"/>
                          </w:rPr>
                          <w:t xml:space="preserve">s social care </w:t>
                        </w:r>
                      </w:p>
                    </w:txbxContent>
                  </v:textbox>
                </v:rect>
                <v:rect id="Rectangle 3007" style="position:absolute;width:15184;height:1546;left:54123;top:15105;" filled="f" stroked="f">
                  <v:textbox inset="0,0,0,0">
                    <w:txbxContent>
                      <w:p>
                        <w:pPr>
                          <w:spacing w:before="0" w:after="160" w:line="259" w:lineRule="auto"/>
                          <w:ind w:left="0" w:firstLine="0"/>
                        </w:pPr>
                        <w:r>
                          <w:rPr>
                            <w:color w:val="0d0d0d"/>
                            <w:sz w:val="19"/>
                          </w:rPr>
                          <w:t xml:space="preserve">informs the referring </w:t>
                        </w:r>
                      </w:p>
                    </w:txbxContent>
                  </v:textbox>
                </v:rect>
                <v:rect id="Rectangle 3008" style="position:absolute;width:12351;height:1546;left:54849;top:16583;" filled="f" stroked="f">
                  <v:textbox inset="0,0,0,0">
                    <w:txbxContent>
                      <w:p>
                        <w:pPr>
                          <w:spacing w:before="0" w:after="160" w:line="259" w:lineRule="auto"/>
                          <w:ind w:left="0" w:firstLine="0"/>
                        </w:pPr>
                        <w:r>
                          <w:rPr>
                            <w:color w:val="0d0d0d"/>
                            <w:sz w:val="19"/>
                          </w:rPr>
                          <w:t xml:space="preserve">school or college</w:t>
                        </w:r>
                      </w:p>
                    </w:txbxContent>
                  </v:textbox>
                </v:rect>
                <v:rect id="Rectangle 3009" style="position:absolute;width:898;height:1546;left:64133;top:16583;" filled="f" stroked="f">
                  <v:textbox inset="0,0,0,0">
                    <w:txbxContent>
                      <w:p>
                        <w:pPr>
                          <w:spacing w:before="0" w:after="160" w:line="259" w:lineRule="auto"/>
                          <w:ind w:left="0" w:firstLine="0"/>
                        </w:pPr>
                        <w:r>
                          <w:rPr>
                            <w:color w:val="0d0d0d"/>
                            <w:sz w:val="19"/>
                          </w:rPr>
                          <w:t xml:space="preserve">. </w:t>
                        </w:r>
                      </w:p>
                    </w:txbxContent>
                  </v:textbox>
                </v:rect>
                <v:shape id="Shape 3114" style="position:absolute;width:829;height:3920;left:7399;top:4163;" coordsize="82970,392038" path="m34577,0l48396,0l48396,309067l82970,309067l41486,392038l0,309067l34577,309067l34577,0x">
                  <v:stroke weight="0pt" endcap="flat" joinstyle="miter" miterlimit="10" on="false" color="#000000" opacity="0"/>
                  <v:fill on="true" color="#0e2841"/>
                </v:shape>
                <v:shape id="Shape 3115" style="position:absolute;width:829;height:3920;left:24597;top:4163;" coordsize="82973,392038" path="m34580,0l48399,0l48399,309067l82973,309067l41486,392038l0,309067l34580,309067l34580,0x">
                  <v:stroke weight="0pt" endcap="flat" joinstyle="miter" miterlimit="10" on="false" color="#000000" opacity="0"/>
                  <v:fill on="true" color="#0e2841"/>
                </v:shape>
                <v:shape id="Shape 57686" style="position:absolute;width:56210;height:4978;left:5702;top:0;" coordsize="5621030,497829" path="m0,0l5621030,0l5621030,497829l0,497829l0,0">
                  <v:stroke weight="0pt" endcap="flat" joinstyle="miter" miterlimit="10" on="false" color="#000000" opacity="0"/>
                  <v:fill on="true" color="#ffffff"/>
                </v:shape>
                <v:shape id="Shape 3117" style="position:absolute;width:56210;height:4978;left:5702;top:0;" coordsize="5621030,497829" path="m0,0l5621030,0l5621030,497829l0,497829x">
                  <v:stroke weight="1.6333pt" endcap="flat" joinstyle="miter" miterlimit="8" on="true" color="#1f497d"/>
                  <v:fill on="false" color="#000000" opacity="0"/>
                </v:shape>
                <v:rect id="Rectangle 3118" style="position:absolute;width:5030;height:1546;left:14015;top:1286;" filled="f" stroked="f">
                  <v:textbox inset="0,0,0,0">
                    <w:txbxContent>
                      <w:p>
                        <w:pPr>
                          <w:spacing w:before="0" w:after="160" w:line="259" w:lineRule="auto"/>
                          <w:ind w:left="0" w:firstLine="0"/>
                        </w:pPr>
                        <w:r>
                          <w:rPr>
                            <w:sz w:val="19"/>
                          </w:rPr>
                          <w:t xml:space="preserve">Within </w:t>
                        </w:r>
                      </w:p>
                    </w:txbxContent>
                  </v:textbox>
                </v:rect>
                <v:rect id="Rectangle 3119" style="position:absolute;width:13421;height:1546;left:17818;top:1286;" filled="f" stroked="f">
                  <v:textbox inset="0,0,0,0">
                    <w:txbxContent>
                      <w:p>
                        <w:pPr>
                          <w:spacing w:before="0" w:after="160" w:line="259" w:lineRule="auto"/>
                          <w:ind w:left="0" w:firstLine="0"/>
                        </w:pPr>
                        <w:r>
                          <w:rPr>
                            <w:rFonts w:cs="Arial" w:hAnsi="Arial" w:eastAsia="Arial" w:ascii="Arial"/>
                            <w:b w:val="1"/>
                            <w:sz w:val="19"/>
                          </w:rPr>
                          <w:t xml:space="preserve">one working day </w:t>
                        </w:r>
                      </w:p>
                    </w:txbxContent>
                  </v:textbox>
                </v:rect>
                <v:rect id="Rectangle 3120" style="position:absolute;width:33378;height:1546;left:27982;top:1286;" filled="f" stroked="f">
                  <v:textbox inset="0,0,0,0">
                    <w:txbxContent>
                      <w:p>
                        <w:pPr>
                          <w:spacing w:before="0" w:after="160" w:line="259" w:lineRule="auto"/>
                          <w:ind w:left="0" w:firstLine="0"/>
                        </w:pPr>
                        <w:r>
                          <w:rPr>
                            <w:sz w:val="19"/>
                          </w:rPr>
                          <w:t xml:space="preserve">of receiving a referral from a school or college</w:t>
                        </w:r>
                      </w:p>
                    </w:txbxContent>
                  </v:textbox>
                </v:rect>
                <v:rect id="Rectangle 3121" style="position:absolute;width:898;height:1546;left:53078;top:1286;" filled="f" stroked="f">
                  <v:textbox inset="0,0,0,0">
                    <w:txbxContent>
                      <w:p>
                        <w:pPr>
                          <w:spacing w:before="0" w:after="160" w:line="259" w:lineRule="auto"/>
                          <w:ind w:left="0" w:firstLine="0"/>
                        </w:pPr>
                        <w:r>
                          <w:rPr>
                            <w:sz w:val="19"/>
                          </w:rPr>
                          <w:t xml:space="preserve">, </w:t>
                        </w:r>
                      </w:p>
                    </w:txbxContent>
                  </v:textbox>
                </v:rect>
                <v:rect id="Rectangle 3122" style="position:absolute;width:6383;height:1546;left:16124;top:2795;" filled="f" stroked="f">
                  <v:textbox inset="0,0,0,0">
                    <w:txbxContent>
                      <w:p>
                        <w:pPr>
                          <w:spacing w:before="0" w:after="160" w:line="259" w:lineRule="auto"/>
                          <w:ind w:left="0" w:firstLine="0"/>
                        </w:pPr>
                        <w:r>
                          <w:rPr>
                            <w:rFonts w:cs="Arial" w:hAnsi="Arial" w:eastAsia="Arial" w:ascii="Arial"/>
                            <w:b w:val="1"/>
                            <w:sz w:val="19"/>
                          </w:rPr>
                          <w:t xml:space="preserve">children</w:t>
                        </w:r>
                      </w:p>
                    </w:txbxContent>
                  </v:textbox>
                </v:rect>
                <v:rect id="Rectangle 3123" style="position:absolute;width:457;height:1546;left:20935;top:2795;" filled="f" stroked="f">
                  <v:textbox inset="0,0,0,0">
                    <w:txbxContent>
                      <w:p>
                        <w:pPr>
                          <w:spacing w:before="0" w:after="160" w:line="259" w:lineRule="auto"/>
                          <w:ind w:left="0" w:firstLine="0"/>
                        </w:pPr>
                        <w:r>
                          <w:rPr>
                            <w:rFonts w:cs="Arial" w:hAnsi="Arial" w:eastAsia="Arial" w:ascii="Arial"/>
                            <w:b w:val="1"/>
                            <w:sz w:val="19"/>
                          </w:rPr>
                          <w:t xml:space="preserve">’</w:t>
                        </w:r>
                      </w:p>
                    </w:txbxContent>
                  </v:textbox>
                </v:rect>
                <v:rect id="Rectangle 3124" style="position:absolute;width:10329;height:1546;left:21279;top:2795;" filled="f" stroked="f">
                  <v:textbox inset="0,0,0,0">
                    <w:txbxContent>
                      <w:p>
                        <w:pPr>
                          <w:spacing w:before="0" w:after="160" w:line="259" w:lineRule="auto"/>
                          <w:ind w:left="0" w:firstLine="0"/>
                        </w:pPr>
                        <w:r>
                          <w:rPr>
                            <w:rFonts w:cs="Arial" w:hAnsi="Arial" w:eastAsia="Arial" w:ascii="Arial"/>
                            <w:b w:val="1"/>
                            <w:sz w:val="19"/>
                          </w:rPr>
                          <w:t xml:space="preserve">s social care </w:t>
                        </w:r>
                      </w:p>
                    </w:txbxContent>
                  </v:textbox>
                </v:rect>
                <v:rect id="Rectangle 3125" style="position:absolute;width:8885;height:1546;left:29123;top:2795;" filled="f" stroked="f">
                  <v:textbox inset="0,0,0,0">
                    <w:txbxContent>
                      <w:p>
                        <w:pPr>
                          <w:spacing w:before="0" w:after="160" w:line="259" w:lineRule="auto"/>
                          <w:ind w:left="0" w:firstLine="0"/>
                        </w:pPr>
                        <w:r>
                          <w:rPr>
                            <w:sz w:val="19"/>
                          </w:rPr>
                          <w:t xml:space="preserve">decides the </w:t>
                        </w:r>
                      </w:p>
                    </w:txbxContent>
                  </v:textbox>
                </v:rect>
                <v:rect id="Rectangle 3126" style="position:absolute;width:20190;height:1546;left:35830;top:2795;" filled="f" stroked="f">
                  <v:textbox inset="0,0,0,0">
                    <w:txbxContent>
                      <w:p>
                        <w:pPr>
                          <w:spacing w:before="0" w:after="160" w:line="259" w:lineRule="auto"/>
                          <w:ind w:left="0" w:firstLine="0"/>
                        </w:pPr>
                        <w:r>
                          <w:rPr>
                            <w:rFonts w:cs="Arial" w:hAnsi="Arial" w:eastAsia="Arial" w:ascii="Arial"/>
                            <w:b w:val="1"/>
                            <w:sz w:val="19"/>
                          </w:rPr>
                          <w:t xml:space="preserve">type of response required</w:t>
                        </w:r>
                      </w:p>
                    </w:txbxContent>
                  </v:textbox>
                </v:rect>
                <v:rect id="Rectangle 3127" style="position:absolute;width:457;height:1546;left:51111;top:2795;" filled="f" stroked="f">
                  <v:textbox inset="0,0,0,0">
                    <w:txbxContent>
                      <w:p>
                        <w:pPr>
                          <w:spacing w:before="0" w:after="160" w:line="259" w:lineRule="auto"/>
                          <w:ind w:left="0" w:firstLine="0"/>
                        </w:pPr>
                        <w:r>
                          <w:rPr>
                            <w:sz w:val="19"/>
                          </w:rPr>
                          <w:t xml:space="preserve">.</w:t>
                        </w:r>
                      </w:p>
                    </w:txbxContent>
                  </v:textbox>
                </v:rect>
                <v:shape id="Shape 3128" style="position:absolute;width:829;height:3082;left:42248;top:4978;" coordsize="82973,308204" path="m34577,0l48396,0l48396,225233l82973,225233l41486,308204l0,225233l34577,225233l34577,0x">
                  <v:stroke weight="0pt" endcap="flat" joinstyle="miter" miterlimit="10" on="false" color="#000000" opacity="0"/>
                  <v:fill on="true" color="#0e2841"/>
                </v:shape>
              </v:group>
            </w:pict>
          </mc:Fallback>
        </mc:AlternateContent>
      </w:r>
    </w:p>
    <w:tbl>
      <w:tblPr>
        <w:tblStyle w:val="TableGrid"/>
        <w:tblW w:w="10605" w:type="dxa"/>
        <w:tblInd w:w="-6" w:type="dxa"/>
        <w:tblCellMar>
          <w:top w:w="0" w:type="dxa"/>
          <w:left w:w="155" w:type="dxa"/>
          <w:bottom w:w="0" w:type="dxa"/>
          <w:right w:w="118" w:type="dxa"/>
        </w:tblCellMar>
        <w:tblLook w:val="04A0" w:firstRow="1" w:lastRow="0" w:firstColumn="1" w:lastColumn="0" w:noHBand="0" w:noVBand="1"/>
      </w:tblPr>
      <w:tblGrid>
        <w:gridCol w:w="2403"/>
        <w:gridCol w:w="279"/>
        <w:gridCol w:w="2542"/>
        <w:gridCol w:w="279"/>
        <w:gridCol w:w="2471"/>
        <w:gridCol w:w="279"/>
        <w:gridCol w:w="2352"/>
      </w:tblGrid>
      <w:tr w:rsidR="00A932C3" w14:paraId="35845C75" w14:textId="77777777">
        <w:trPr>
          <w:trHeight w:val="3744"/>
        </w:trPr>
        <w:tc>
          <w:tcPr>
            <w:tcW w:w="2466" w:type="dxa"/>
            <w:tcBorders>
              <w:top w:val="single" w:sz="13" w:space="0" w:color="1F497D"/>
              <w:left w:val="single" w:sz="13" w:space="0" w:color="1F497D"/>
              <w:bottom w:val="single" w:sz="13" w:space="0" w:color="1F497D"/>
              <w:right w:val="single" w:sz="13" w:space="0" w:color="1F497D"/>
            </w:tcBorders>
            <w:vAlign w:val="center"/>
          </w:tcPr>
          <w:p w14:paraId="28B7B473" w14:textId="77777777" w:rsidR="00A932C3" w:rsidRDefault="00324E68">
            <w:pPr>
              <w:spacing w:after="2" w:line="252" w:lineRule="auto"/>
              <w:ind w:left="71" w:right="61" w:hanging="6"/>
              <w:jc w:val="center"/>
            </w:pPr>
            <w:r>
              <w:rPr>
                <w:color w:val="0D0D0D"/>
                <w:sz w:val="19"/>
              </w:rPr>
              <w:t xml:space="preserve">The </w:t>
            </w:r>
            <w:r>
              <w:rPr>
                <w:b/>
                <w:color w:val="0D0D0D"/>
                <w:sz w:val="19"/>
              </w:rPr>
              <w:t xml:space="preserve">social worker, police or NSPCC </w:t>
            </w:r>
            <w:r>
              <w:rPr>
                <w:color w:val="0D0D0D"/>
                <w:sz w:val="19"/>
              </w:rPr>
              <w:t xml:space="preserve">takes appropriate </w:t>
            </w:r>
          </w:p>
          <w:p w14:paraId="2A925E1F" w14:textId="77777777" w:rsidR="00A932C3" w:rsidRDefault="00324E68">
            <w:pPr>
              <w:spacing w:after="0" w:line="259" w:lineRule="auto"/>
              <w:ind w:left="0" w:right="42" w:firstLine="0"/>
              <w:jc w:val="center"/>
            </w:pPr>
            <w:r>
              <w:rPr>
                <w:b/>
                <w:color w:val="0D0D0D"/>
                <w:sz w:val="19"/>
              </w:rPr>
              <w:t>emergency action</w:t>
            </w:r>
            <w:r>
              <w:rPr>
                <w:color w:val="0D0D0D"/>
                <w:sz w:val="19"/>
              </w:rPr>
              <w:t xml:space="preserve">. </w:t>
            </w:r>
          </w:p>
          <w:p w14:paraId="4C318388" w14:textId="77777777" w:rsidR="00A932C3" w:rsidRDefault="00324E68">
            <w:pPr>
              <w:spacing w:after="2" w:line="252" w:lineRule="auto"/>
              <w:ind w:left="3" w:hanging="3"/>
              <w:jc w:val="center"/>
            </w:pPr>
            <w:r>
              <w:rPr>
                <w:color w:val="0D0D0D"/>
                <w:sz w:val="19"/>
              </w:rPr>
              <w:t xml:space="preserve">This could include applying for an </w:t>
            </w:r>
            <w:r>
              <w:rPr>
                <w:b/>
                <w:color w:val="0D0D0D"/>
                <w:sz w:val="19"/>
              </w:rPr>
              <w:t xml:space="preserve">emergency </w:t>
            </w:r>
          </w:p>
          <w:p w14:paraId="228FE20F" w14:textId="77777777" w:rsidR="00A932C3" w:rsidRDefault="00324E68">
            <w:pPr>
              <w:spacing w:after="0" w:line="259" w:lineRule="auto"/>
              <w:ind w:left="19" w:right="14" w:firstLine="0"/>
              <w:jc w:val="center"/>
            </w:pPr>
            <w:r>
              <w:rPr>
                <w:b/>
                <w:color w:val="0D0D0D"/>
                <w:sz w:val="19"/>
              </w:rPr>
              <w:t>protection order (EPO)</w:t>
            </w:r>
            <w:r>
              <w:rPr>
                <w:color w:val="0D0D0D"/>
                <w:sz w:val="19"/>
              </w:rPr>
              <w:t>.</w:t>
            </w:r>
          </w:p>
        </w:tc>
        <w:tc>
          <w:tcPr>
            <w:tcW w:w="195" w:type="dxa"/>
            <w:tcBorders>
              <w:top w:val="nil"/>
              <w:left w:val="single" w:sz="13" w:space="0" w:color="1F497D"/>
              <w:bottom w:val="nil"/>
              <w:right w:val="single" w:sz="13" w:space="0" w:color="1F497D"/>
            </w:tcBorders>
          </w:tcPr>
          <w:p w14:paraId="04E01146" w14:textId="77777777" w:rsidR="00A932C3" w:rsidRDefault="00A932C3">
            <w:pPr>
              <w:spacing w:after="160" w:line="259" w:lineRule="auto"/>
              <w:ind w:left="0" w:firstLine="0"/>
            </w:pPr>
          </w:p>
        </w:tc>
        <w:tc>
          <w:tcPr>
            <w:tcW w:w="2599" w:type="dxa"/>
            <w:tcBorders>
              <w:top w:val="single" w:sz="13" w:space="0" w:color="1F497D"/>
              <w:left w:val="single" w:sz="13" w:space="0" w:color="1F497D"/>
              <w:bottom w:val="single" w:sz="13" w:space="0" w:color="1F497D"/>
              <w:right w:val="single" w:sz="13" w:space="0" w:color="1F497D"/>
            </w:tcBorders>
            <w:vAlign w:val="center"/>
          </w:tcPr>
          <w:p w14:paraId="23036A45" w14:textId="77777777" w:rsidR="00A932C3" w:rsidRDefault="00324E68">
            <w:pPr>
              <w:spacing w:after="2" w:line="252" w:lineRule="auto"/>
              <w:ind w:left="125" w:right="120" w:firstLine="0"/>
              <w:jc w:val="center"/>
            </w:pPr>
            <w:r>
              <w:rPr>
                <w:color w:val="0D0D0D"/>
                <w:sz w:val="19"/>
              </w:rPr>
              <w:t xml:space="preserve">The child is identified as a child </w:t>
            </w:r>
            <w:r>
              <w:rPr>
                <w:b/>
                <w:color w:val="0D0D0D"/>
                <w:sz w:val="19"/>
              </w:rPr>
              <w:t>at risk of significant harm</w:t>
            </w:r>
            <w:r>
              <w:rPr>
                <w:color w:val="0D0D0D"/>
                <w:sz w:val="19"/>
              </w:rPr>
              <w:t xml:space="preserve">. </w:t>
            </w:r>
          </w:p>
          <w:p w14:paraId="5510A99D" w14:textId="77777777" w:rsidR="00A932C3" w:rsidRDefault="00324E68">
            <w:pPr>
              <w:spacing w:after="0" w:line="259" w:lineRule="auto"/>
              <w:ind w:left="0" w:right="55" w:firstLine="0"/>
              <w:jc w:val="center"/>
            </w:pPr>
            <w:r>
              <w:rPr>
                <w:color w:val="0D0D0D"/>
                <w:sz w:val="19"/>
              </w:rPr>
              <w:t xml:space="preserve">Under the </w:t>
            </w:r>
            <w:r>
              <w:rPr>
                <w:color w:val="467886"/>
                <w:sz w:val="19"/>
                <w:u w:val="single" w:color="467886"/>
              </w:rPr>
              <w:t xml:space="preserve">Children Act </w:t>
            </w:r>
          </w:p>
          <w:p w14:paraId="7B47CFFC" w14:textId="77777777" w:rsidR="00A932C3" w:rsidRDefault="00324E68">
            <w:pPr>
              <w:spacing w:after="2" w:line="252" w:lineRule="auto"/>
              <w:ind w:left="50" w:right="44" w:firstLine="2"/>
              <w:jc w:val="center"/>
            </w:pPr>
            <w:r>
              <w:rPr>
                <w:color w:val="467886"/>
                <w:sz w:val="19"/>
                <w:u w:val="single" w:color="467886"/>
              </w:rPr>
              <w:t>1989</w:t>
            </w:r>
            <w:r>
              <w:rPr>
                <w:color w:val="0D0D0D"/>
                <w:sz w:val="19"/>
              </w:rPr>
              <w:t xml:space="preserve">, </w:t>
            </w:r>
            <w:r>
              <w:rPr>
                <w:color w:val="0D0D0D"/>
                <w:sz w:val="19"/>
              </w:rPr>
              <w:t xml:space="preserve">local authorities are required to provide services for children in </w:t>
            </w:r>
          </w:p>
          <w:p w14:paraId="0D030297" w14:textId="77777777" w:rsidR="00A932C3" w:rsidRDefault="00324E68">
            <w:pPr>
              <w:spacing w:after="5" w:line="249" w:lineRule="auto"/>
              <w:ind w:left="0" w:firstLine="0"/>
              <w:jc w:val="center"/>
            </w:pPr>
            <w:r>
              <w:rPr>
                <w:color w:val="0D0D0D"/>
                <w:sz w:val="19"/>
              </w:rPr>
              <w:t xml:space="preserve">need for the purposes of safeguarding and </w:t>
            </w:r>
          </w:p>
          <w:p w14:paraId="47872110" w14:textId="77777777" w:rsidR="00A932C3" w:rsidRDefault="00324E68">
            <w:pPr>
              <w:spacing w:after="0" w:line="259" w:lineRule="auto"/>
              <w:ind w:left="119" w:firstLine="0"/>
            </w:pPr>
            <w:r>
              <w:rPr>
                <w:color w:val="0D0D0D"/>
                <w:sz w:val="19"/>
              </w:rPr>
              <w:t xml:space="preserve">promoting their welfare. </w:t>
            </w:r>
          </w:p>
          <w:p w14:paraId="260C4439" w14:textId="77777777" w:rsidR="00A932C3" w:rsidRDefault="00324E68">
            <w:pPr>
              <w:spacing w:after="0" w:line="259" w:lineRule="auto"/>
              <w:ind w:left="152" w:right="192" w:firstLine="136"/>
              <w:jc w:val="both"/>
            </w:pPr>
            <w:r>
              <w:rPr>
                <w:color w:val="467886"/>
                <w:sz w:val="19"/>
                <w:u w:val="single" w:color="467886"/>
              </w:rPr>
              <w:t xml:space="preserve">Working together to safeguard children </w:t>
            </w:r>
            <w:r>
              <w:rPr>
                <w:color w:val="0D0D0D"/>
                <w:sz w:val="19"/>
              </w:rPr>
              <w:t>has more information.</w:t>
            </w:r>
          </w:p>
        </w:tc>
        <w:tc>
          <w:tcPr>
            <w:tcW w:w="223" w:type="dxa"/>
            <w:tcBorders>
              <w:top w:val="nil"/>
              <w:left w:val="single" w:sz="13" w:space="0" w:color="1F497D"/>
              <w:bottom w:val="nil"/>
              <w:right w:val="single" w:sz="13" w:space="0" w:color="1F497D"/>
            </w:tcBorders>
          </w:tcPr>
          <w:p w14:paraId="3FA1F747" w14:textId="77777777" w:rsidR="00A932C3" w:rsidRDefault="00A932C3">
            <w:pPr>
              <w:spacing w:after="160" w:line="259" w:lineRule="auto"/>
              <w:ind w:left="0" w:firstLine="0"/>
            </w:pPr>
          </w:p>
        </w:tc>
        <w:tc>
          <w:tcPr>
            <w:tcW w:w="2528" w:type="dxa"/>
            <w:tcBorders>
              <w:top w:val="single" w:sz="13" w:space="0" w:color="1F497D"/>
              <w:left w:val="single" w:sz="13" w:space="0" w:color="1F497D"/>
              <w:bottom w:val="single" w:sz="13" w:space="0" w:color="1F497D"/>
              <w:right w:val="single" w:sz="13" w:space="0" w:color="1F497D"/>
            </w:tcBorders>
            <w:vAlign w:val="center"/>
          </w:tcPr>
          <w:p w14:paraId="43983DF4" w14:textId="77777777" w:rsidR="00A932C3" w:rsidRDefault="00324E68">
            <w:pPr>
              <w:spacing w:after="12" w:line="255" w:lineRule="auto"/>
              <w:ind w:left="87" w:right="86" w:firstLine="0"/>
              <w:jc w:val="center"/>
            </w:pPr>
            <w:r>
              <w:rPr>
                <w:color w:val="0D0D0D"/>
                <w:sz w:val="19"/>
              </w:rPr>
              <w:t xml:space="preserve">The child is identified as a </w:t>
            </w:r>
            <w:r>
              <w:rPr>
                <w:b/>
                <w:color w:val="0D0D0D"/>
                <w:sz w:val="19"/>
              </w:rPr>
              <w:t xml:space="preserve">child in need </w:t>
            </w:r>
          </w:p>
          <w:p w14:paraId="428D8757" w14:textId="77777777" w:rsidR="00A932C3" w:rsidRDefault="00324E68">
            <w:pPr>
              <w:spacing w:after="0" w:line="261" w:lineRule="auto"/>
              <w:ind w:left="0" w:firstLine="0"/>
              <w:jc w:val="center"/>
            </w:pPr>
            <w:r>
              <w:rPr>
                <w:b/>
                <w:color w:val="0D0D0D"/>
                <w:sz w:val="19"/>
              </w:rPr>
              <w:t xml:space="preserve">(CiN) </w:t>
            </w:r>
            <w:r>
              <w:rPr>
                <w:color w:val="0D0D0D"/>
                <w:sz w:val="19"/>
              </w:rPr>
              <w:t xml:space="preserve">and given the appropriate support. </w:t>
            </w:r>
          </w:p>
          <w:p w14:paraId="4A8DFC4E" w14:textId="77777777" w:rsidR="00A932C3" w:rsidRDefault="00324E68">
            <w:pPr>
              <w:spacing w:after="0" w:line="259" w:lineRule="auto"/>
              <w:ind w:left="0" w:right="59" w:firstLine="0"/>
              <w:jc w:val="center"/>
            </w:pPr>
            <w:r>
              <w:rPr>
                <w:color w:val="0D0D0D"/>
                <w:sz w:val="19"/>
              </w:rPr>
              <w:t xml:space="preserve">Under the </w:t>
            </w:r>
            <w:r>
              <w:rPr>
                <w:color w:val="467886"/>
                <w:sz w:val="19"/>
                <w:u w:val="single" w:color="467886"/>
              </w:rPr>
              <w:t xml:space="preserve">Children Act </w:t>
            </w:r>
          </w:p>
          <w:p w14:paraId="44152529" w14:textId="77777777" w:rsidR="00A932C3" w:rsidRDefault="00324E68">
            <w:pPr>
              <w:spacing w:after="22" w:line="249" w:lineRule="auto"/>
              <w:ind w:left="13" w:right="10" w:firstLine="0"/>
              <w:jc w:val="center"/>
            </w:pPr>
            <w:r>
              <w:rPr>
                <w:color w:val="467886"/>
                <w:sz w:val="19"/>
                <w:u w:val="single" w:color="467886"/>
              </w:rPr>
              <w:t>1989</w:t>
            </w:r>
            <w:r>
              <w:rPr>
                <w:color w:val="0D0D0D"/>
                <w:sz w:val="19"/>
              </w:rPr>
              <w:t xml:space="preserve">, local authorities are required to provide </w:t>
            </w:r>
          </w:p>
          <w:p w14:paraId="7A3F7427" w14:textId="77777777" w:rsidR="00A932C3" w:rsidRDefault="00324E68">
            <w:pPr>
              <w:spacing w:after="0" w:line="259" w:lineRule="auto"/>
              <w:ind w:left="0" w:right="49" w:firstLine="0"/>
              <w:jc w:val="center"/>
            </w:pPr>
            <w:r>
              <w:rPr>
                <w:color w:val="0D0D0D"/>
                <w:sz w:val="19"/>
              </w:rPr>
              <w:t xml:space="preserve">services for a CiN for the </w:t>
            </w:r>
          </w:p>
          <w:p w14:paraId="6F57E956" w14:textId="77777777" w:rsidR="00A932C3" w:rsidRDefault="00324E68">
            <w:pPr>
              <w:spacing w:after="0" w:line="255" w:lineRule="auto"/>
              <w:ind w:left="0" w:firstLine="0"/>
              <w:jc w:val="center"/>
            </w:pPr>
            <w:r>
              <w:rPr>
                <w:color w:val="0D0D0D"/>
                <w:sz w:val="19"/>
              </w:rPr>
              <w:t xml:space="preserve">purposes of safeguarding and promoting </w:t>
            </w:r>
          </w:p>
          <w:p w14:paraId="1A9F7B1C" w14:textId="77777777" w:rsidR="00A932C3" w:rsidRDefault="00324E68">
            <w:pPr>
              <w:spacing w:after="0" w:line="259" w:lineRule="auto"/>
              <w:ind w:left="0" w:right="50" w:firstLine="0"/>
              <w:jc w:val="center"/>
            </w:pPr>
            <w:r>
              <w:rPr>
                <w:color w:val="0D0D0D"/>
                <w:sz w:val="19"/>
              </w:rPr>
              <w:t xml:space="preserve">their welfare. </w:t>
            </w:r>
          </w:p>
          <w:p w14:paraId="7342A62E" w14:textId="77777777" w:rsidR="00A932C3" w:rsidRDefault="00324E68">
            <w:pPr>
              <w:spacing w:after="0" w:line="259" w:lineRule="auto"/>
              <w:ind w:left="114" w:right="158" w:firstLine="136"/>
              <w:jc w:val="both"/>
            </w:pPr>
            <w:r>
              <w:rPr>
                <w:color w:val="467886"/>
                <w:sz w:val="19"/>
                <w:u w:val="single" w:color="467886"/>
              </w:rPr>
              <w:t xml:space="preserve">Working together to safeguard children </w:t>
            </w:r>
            <w:r>
              <w:rPr>
                <w:color w:val="0D0D0D"/>
                <w:sz w:val="19"/>
              </w:rPr>
              <w:t>has more information.</w:t>
            </w:r>
          </w:p>
        </w:tc>
        <w:tc>
          <w:tcPr>
            <w:tcW w:w="185" w:type="dxa"/>
            <w:tcBorders>
              <w:top w:val="nil"/>
              <w:left w:val="single" w:sz="13" w:space="0" w:color="1F497D"/>
              <w:bottom w:val="nil"/>
              <w:right w:val="single" w:sz="13" w:space="0" w:color="1F497D"/>
            </w:tcBorders>
          </w:tcPr>
          <w:p w14:paraId="5EEE17B6" w14:textId="77777777" w:rsidR="00A932C3" w:rsidRDefault="00A932C3">
            <w:pPr>
              <w:spacing w:after="160" w:line="259" w:lineRule="auto"/>
              <w:ind w:left="0" w:firstLine="0"/>
            </w:pPr>
          </w:p>
        </w:tc>
        <w:tc>
          <w:tcPr>
            <w:tcW w:w="2409" w:type="dxa"/>
            <w:tcBorders>
              <w:top w:val="single" w:sz="13" w:space="0" w:color="1F497D"/>
              <w:left w:val="single" w:sz="13" w:space="0" w:color="1F497D"/>
              <w:bottom w:val="single" w:sz="13" w:space="0" w:color="1F497D"/>
              <w:right w:val="single" w:sz="13" w:space="0" w:color="1F497D"/>
            </w:tcBorders>
            <w:vAlign w:val="center"/>
          </w:tcPr>
          <w:p w14:paraId="6F109B9F" w14:textId="77777777" w:rsidR="00A932C3" w:rsidRDefault="00324E68">
            <w:pPr>
              <w:spacing w:after="0" w:line="255" w:lineRule="auto"/>
              <w:ind w:left="0" w:firstLine="0"/>
              <w:jc w:val="center"/>
            </w:pPr>
            <w:r>
              <w:rPr>
                <w:color w:val="0D0D0D"/>
                <w:sz w:val="19"/>
              </w:rPr>
              <w:t xml:space="preserve">The </w:t>
            </w:r>
            <w:r>
              <w:rPr>
                <w:b/>
                <w:color w:val="0D0D0D"/>
                <w:sz w:val="19"/>
              </w:rPr>
              <w:t xml:space="preserve">school or college </w:t>
            </w:r>
            <w:r>
              <w:rPr>
                <w:color w:val="0D0D0D"/>
                <w:sz w:val="19"/>
              </w:rPr>
              <w:t xml:space="preserve">considers </w:t>
            </w:r>
            <w:r>
              <w:rPr>
                <w:b/>
                <w:color w:val="0D0D0D"/>
                <w:sz w:val="19"/>
              </w:rPr>
              <w:t xml:space="preserve">pastoral </w:t>
            </w:r>
          </w:p>
          <w:p w14:paraId="6B2F224A" w14:textId="77777777" w:rsidR="00A932C3" w:rsidRDefault="00324E68">
            <w:pPr>
              <w:spacing w:after="0" w:line="259" w:lineRule="auto"/>
              <w:ind w:left="0" w:right="51" w:firstLine="0"/>
              <w:jc w:val="center"/>
            </w:pPr>
            <w:r>
              <w:rPr>
                <w:b/>
                <w:color w:val="0D0D0D"/>
                <w:sz w:val="19"/>
              </w:rPr>
              <w:t xml:space="preserve">support and Family </w:t>
            </w:r>
          </w:p>
          <w:p w14:paraId="0A4350B8" w14:textId="77777777" w:rsidR="00A932C3" w:rsidRDefault="00324E68">
            <w:pPr>
              <w:spacing w:after="0" w:line="252" w:lineRule="auto"/>
              <w:ind w:left="0" w:firstLine="0"/>
              <w:jc w:val="center"/>
            </w:pPr>
            <w:r>
              <w:rPr>
                <w:b/>
                <w:color w:val="0D0D0D"/>
                <w:sz w:val="19"/>
              </w:rPr>
              <w:t xml:space="preserve">Help. </w:t>
            </w:r>
            <w:r>
              <w:rPr>
                <w:color w:val="0D0D0D"/>
                <w:sz w:val="19"/>
              </w:rPr>
              <w:t xml:space="preserve">Family Help aims to provide support as soon as a problem </w:t>
            </w:r>
          </w:p>
          <w:p w14:paraId="537C629B" w14:textId="77777777" w:rsidR="00A932C3" w:rsidRDefault="00324E68">
            <w:pPr>
              <w:spacing w:after="0" w:line="255" w:lineRule="auto"/>
              <w:ind w:left="58" w:right="52" w:firstLine="0"/>
              <w:jc w:val="center"/>
            </w:pPr>
            <w:r>
              <w:rPr>
                <w:color w:val="0D0D0D"/>
                <w:sz w:val="19"/>
              </w:rPr>
              <w:t xml:space="preserve">emerges at any point in a child’s life. </w:t>
            </w:r>
          </w:p>
          <w:p w14:paraId="65DFC440" w14:textId="77777777" w:rsidR="00A932C3" w:rsidRDefault="00324E68">
            <w:pPr>
              <w:spacing w:after="0" w:line="259" w:lineRule="auto"/>
              <w:ind w:left="0" w:right="49" w:firstLine="0"/>
              <w:jc w:val="center"/>
            </w:pPr>
            <w:r>
              <w:rPr>
                <w:color w:val="0D0D0D"/>
                <w:sz w:val="19"/>
              </w:rPr>
              <w:t>Refer to Flowchart 1.</w:t>
            </w:r>
          </w:p>
          <w:p w14:paraId="5478B353" w14:textId="77777777" w:rsidR="00A932C3" w:rsidRDefault="00324E68">
            <w:pPr>
              <w:spacing w:after="0" w:line="259" w:lineRule="auto"/>
              <w:ind w:left="57" w:right="96" w:firstLine="136"/>
              <w:jc w:val="both"/>
            </w:pPr>
            <w:r>
              <w:rPr>
                <w:color w:val="467886"/>
                <w:sz w:val="19"/>
                <w:u w:val="single" w:color="467886"/>
              </w:rPr>
              <w:t xml:space="preserve">Working together to safeguard children </w:t>
            </w:r>
            <w:r>
              <w:rPr>
                <w:color w:val="0D0D0D"/>
                <w:sz w:val="19"/>
              </w:rPr>
              <w:t>has more information.</w:t>
            </w:r>
          </w:p>
        </w:tc>
      </w:tr>
    </w:tbl>
    <w:p w14:paraId="31DBBE29" w14:textId="77777777" w:rsidR="00A932C3" w:rsidRDefault="00324E68">
      <w:pPr>
        <w:spacing w:after="150" w:line="259" w:lineRule="auto"/>
        <w:ind w:left="1" w:firstLine="0"/>
      </w:pPr>
      <w:r>
        <w:rPr>
          <w:sz w:val="18"/>
        </w:rPr>
        <w:t xml:space="preserve"> </w:t>
      </w:r>
    </w:p>
    <w:p w14:paraId="561AF393" w14:textId="77777777" w:rsidR="00A932C3" w:rsidRDefault="00324E68">
      <w:pPr>
        <w:spacing w:after="150" w:line="259" w:lineRule="auto"/>
        <w:ind w:left="1" w:firstLine="0"/>
      </w:pPr>
      <w:r>
        <w:rPr>
          <w:sz w:val="18"/>
        </w:rPr>
        <w:t xml:space="preserve"> </w:t>
      </w:r>
    </w:p>
    <w:p w14:paraId="62FF2F95" w14:textId="77777777" w:rsidR="00A932C3" w:rsidRDefault="00324E68">
      <w:pPr>
        <w:spacing w:after="150" w:line="259" w:lineRule="auto"/>
        <w:ind w:left="1" w:firstLine="0"/>
      </w:pPr>
      <w:r>
        <w:rPr>
          <w:sz w:val="18"/>
        </w:rPr>
        <w:t xml:space="preserve"> </w:t>
      </w:r>
    </w:p>
    <w:p w14:paraId="72D15785" w14:textId="77777777" w:rsidR="00A932C3" w:rsidRDefault="00324E68">
      <w:pPr>
        <w:spacing w:after="150" w:line="259" w:lineRule="auto"/>
        <w:ind w:left="1" w:firstLine="0"/>
      </w:pPr>
      <w:r>
        <w:rPr>
          <w:sz w:val="18"/>
        </w:rPr>
        <w:t xml:space="preserve"> </w:t>
      </w:r>
    </w:p>
    <w:p w14:paraId="641774D6" w14:textId="77777777" w:rsidR="00A932C3" w:rsidRDefault="00324E68">
      <w:pPr>
        <w:spacing w:after="149" w:line="259" w:lineRule="auto"/>
        <w:ind w:left="1" w:firstLine="0"/>
      </w:pPr>
      <w:r>
        <w:rPr>
          <w:sz w:val="18"/>
        </w:rPr>
        <w:t xml:space="preserve"> </w:t>
      </w:r>
    </w:p>
    <w:p w14:paraId="72EA28C1" w14:textId="77777777" w:rsidR="00A932C3" w:rsidRDefault="00324E68">
      <w:pPr>
        <w:spacing w:after="150" w:line="259" w:lineRule="auto"/>
        <w:ind w:left="1" w:firstLine="0"/>
      </w:pPr>
      <w:r>
        <w:rPr>
          <w:sz w:val="18"/>
        </w:rPr>
        <w:t xml:space="preserve"> </w:t>
      </w:r>
    </w:p>
    <w:p w14:paraId="1C2A6D5A" w14:textId="77777777" w:rsidR="00A932C3" w:rsidRDefault="00324E68">
      <w:pPr>
        <w:spacing w:after="150" w:line="259" w:lineRule="auto"/>
        <w:ind w:left="1" w:firstLine="0"/>
      </w:pPr>
      <w:r>
        <w:rPr>
          <w:sz w:val="18"/>
        </w:rPr>
        <w:t xml:space="preserve"> </w:t>
      </w:r>
    </w:p>
    <w:p w14:paraId="22B1C547" w14:textId="77777777" w:rsidR="00A932C3" w:rsidRDefault="00324E68">
      <w:pPr>
        <w:spacing w:after="150" w:line="259" w:lineRule="auto"/>
        <w:ind w:left="1" w:firstLine="0"/>
      </w:pPr>
      <w:r>
        <w:rPr>
          <w:sz w:val="18"/>
        </w:rPr>
        <w:t xml:space="preserve"> </w:t>
      </w:r>
    </w:p>
    <w:p w14:paraId="18E9F562" w14:textId="77777777" w:rsidR="00A932C3" w:rsidRDefault="00324E68">
      <w:pPr>
        <w:spacing w:after="150" w:line="259" w:lineRule="auto"/>
        <w:ind w:left="1" w:firstLine="0"/>
      </w:pPr>
      <w:r>
        <w:rPr>
          <w:sz w:val="18"/>
        </w:rPr>
        <w:t xml:space="preserve"> </w:t>
      </w:r>
    </w:p>
    <w:p w14:paraId="62777A1B" w14:textId="77777777" w:rsidR="00A932C3" w:rsidRDefault="00324E68">
      <w:pPr>
        <w:spacing w:after="150" w:line="259" w:lineRule="auto"/>
        <w:ind w:left="1" w:firstLine="0"/>
      </w:pPr>
      <w:r>
        <w:rPr>
          <w:sz w:val="18"/>
        </w:rPr>
        <w:t xml:space="preserve"> </w:t>
      </w:r>
    </w:p>
    <w:p w14:paraId="1C943EEB" w14:textId="77777777" w:rsidR="00A932C3" w:rsidRDefault="00324E68">
      <w:pPr>
        <w:spacing w:after="149" w:line="259" w:lineRule="auto"/>
        <w:ind w:left="1" w:firstLine="0"/>
      </w:pPr>
      <w:r>
        <w:rPr>
          <w:sz w:val="18"/>
        </w:rPr>
        <w:t xml:space="preserve"> </w:t>
      </w:r>
    </w:p>
    <w:p w14:paraId="7E3E806E" w14:textId="77777777" w:rsidR="00A932C3" w:rsidRDefault="00324E68">
      <w:pPr>
        <w:spacing w:after="150" w:line="259" w:lineRule="auto"/>
        <w:ind w:left="1" w:firstLine="0"/>
      </w:pPr>
      <w:r>
        <w:rPr>
          <w:sz w:val="18"/>
        </w:rPr>
        <w:t xml:space="preserve"> </w:t>
      </w:r>
    </w:p>
    <w:p w14:paraId="3ED1EB9B" w14:textId="77777777" w:rsidR="00A932C3" w:rsidRDefault="00324E68">
      <w:pPr>
        <w:spacing w:after="150" w:line="259" w:lineRule="auto"/>
        <w:ind w:left="1" w:firstLine="0"/>
      </w:pPr>
      <w:r>
        <w:rPr>
          <w:sz w:val="18"/>
        </w:rPr>
        <w:t xml:space="preserve"> </w:t>
      </w:r>
    </w:p>
    <w:p w14:paraId="164865AA" w14:textId="77777777" w:rsidR="00A932C3" w:rsidRDefault="00324E68">
      <w:pPr>
        <w:spacing w:after="0" w:line="259" w:lineRule="auto"/>
        <w:ind w:left="1" w:firstLine="0"/>
      </w:pPr>
      <w:r>
        <w:rPr>
          <w:sz w:val="18"/>
        </w:rPr>
        <w:t xml:space="preserve"> </w:t>
      </w:r>
    </w:p>
    <w:p w14:paraId="7270E1C1" w14:textId="77777777" w:rsidR="00A932C3" w:rsidRDefault="00324E68">
      <w:pPr>
        <w:spacing w:after="217" w:line="259" w:lineRule="auto"/>
        <w:ind w:left="-4"/>
      </w:pPr>
      <w:r>
        <w:rPr>
          <w:b/>
          <w:color w:val="0F4761"/>
          <w:sz w:val="36"/>
        </w:rPr>
        <w:t xml:space="preserve">Annex: Further information </w:t>
      </w:r>
    </w:p>
    <w:p w14:paraId="6F918F63" w14:textId="77777777" w:rsidR="00A932C3" w:rsidRDefault="00324E68">
      <w:pPr>
        <w:spacing w:after="9"/>
        <w:ind w:left="-4" w:right="10"/>
      </w:pPr>
      <w:r>
        <w:t xml:space="preserve">The Annex contains important additional information about specific forms of abuse and safeguarding issues. School and college leaders and those staff who work directly with children should read this Annex.  </w:t>
      </w:r>
    </w:p>
    <w:p w14:paraId="3E36C6EB" w14:textId="77777777" w:rsidR="00A932C3" w:rsidRDefault="00324E68">
      <w:pPr>
        <w:spacing w:after="1" w:line="259" w:lineRule="auto"/>
        <w:ind w:left="1" w:firstLine="0"/>
      </w:pPr>
      <w:r>
        <w:t xml:space="preserve"> </w:t>
      </w:r>
    </w:p>
    <w:p w14:paraId="567A0C3F" w14:textId="77777777" w:rsidR="00A932C3" w:rsidRDefault="00324E68">
      <w:pPr>
        <w:spacing w:after="9"/>
        <w:ind w:left="-4" w:right="10"/>
      </w:pPr>
      <w:r>
        <w:t xml:space="preserve">As per Part one of this guidance, if staff have any concerns about a child’s welfare, they should act on them immediately. They should follow their own organisation’s child protection policy and speak to the designated safeguarding lead (or a deputy).  </w:t>
      </w:r>
    </w:p>
    <w:p w14:paraId="2334B5CA" w14:textId="77777777" w:rsidR="00A932C3" w:rsidRDefault="00324E68">
      <w:pPr>
        <w:spacing w:after="0" w:line="259" w:lineRule="auto"/>
        <w:ind w:left="1" w:firstLine="0"/>
      </w:pPr>
      <w:r>
        <w:t xml:space="preserve"> </w:t>
      </w:r>
    </w:p>
    <w:p w14:paraId="382EC540" w14:textId="77777777" w:rsidR="00A932C3" w:rsidRDefault="00324E68">
      <w:pPr>
        <w:spacing w:after="0" w:line="289" w:lineRule="auto"/>
        <w:ind w:left="-4"/>
      </w:pPr>
      <w:r>
        <w:rPr>
          <w:b/>
        </w:rPr>
        <w:t>Where a child is suffering, or is likely to suffer from harm, it is important that a referral to local authority children’s social care (and if appropriate, the police) is made immediately.</w:t>
      </w:r>
      <w:r>
        <w:rPr>
          <w:rFonts w:ascii="Calibri" w:eastAsia="Calibri" w:hAnsi="Calibri" w:cs="Calibri"/>
          <w:color w:val="0F4761"/>
          <w:sz w:val="40"/>
        </w:rPr>
        <w:t xml:space="preserve"> </w:t>
      </w:r>
    </w:p>
    <w:p w14:paraId="7551EAEF" w14:textId="77777777" w:rsidR="00A932C3" w:rsidRDefault="00324E68">
      <w:pPr>
        <w:spacing w:after="314" w:line="259" w:lineRule="auto"/>
        <w:ind w:left="1" w:firstLine="0"/>
      </w:pPr>
      <w:r>
        <w:rPr>
          <w:b/>
        </w:rPr>
        <w:t xml:space="preserve"> </w:t>
      </w:r>
    </w:p>
    <w:sdt>
      <w:sdtPr>
        <w:id w:val="-1557239112"/>
        <w:docPartObj>
          <w:docPartGallery w:val="Table of Contents"/>
        </w:docPartObj>
      </w:sdtPr>
      <w:sdtEndPr/>
      <w:sdtContent>
        <w:p w14:paraId="62AEC5FD" w14:textId="77777777" w:rsidR="00A932C3" w:rsidRDefault="00324E68">
          <w:pPr>
            <w:spacing w:after="100" w:line="259" w:lineRule="auto"/>
            <w:ind w:left="-4"/>
          </w:pPr>
          <w:r>
            <w:rPr>
              <w:b/>
              <w:color w:val="0F4761"/>
              <w:sz w:val="32"/>
            </w:rPr>
            <w:t xml:space="preserve">Contents </w:t>
          </w:r>
        </w:p>
        <w:p w14:paraId="65EE5BCA" w14:textId="112DD4FF" w:rsidR="00A932C3" w:rsidRDefault="00324E68">
          <w:pPr>
            <w:pStyle w:val="TOC1"/>
            <w:tabs>
              <w:tab w:val="right" w:leader="dot" w:pos="10631"/>
            </w:tabs>
          </w:pPr>
          <w:r>
            <w:fldChar w:fldCharType="begin"/>
          </w:r>
          <w:r>
            <w:instrText xml:space="preserve"> TOC \o "1-1" \h \z \u </w:instrText>
          </w:r>
          <w:r>
            <w:fldChar w:fldCharType="separate"/>
          </w:r>
          <w:hyperlink w:anchor="_Toc57458">
            <w:r>
              <w:t>Child abduction and community safety incidents</w:t>
            </w:r>
            <w:r>
              <w:tab/>
            </w:r>
            <w:r>
              <w:fldChar w:fldCharType="begin"/>
            </w:r>
            <w:r>
              <w:instrText>PAGEREF _Toc57458 \h</w:instrText>
            </w:r>
            <w:r>
              <w:fldChar w:fldCharType="separate"/>
            </w:r>
            <w:r>
              <w:rPr>
                <w:noProof/>
              </w:rPr>
              <w:t>27</w:t>
            </w:r>
            <w:r>
              <w:fldChar w:fldCharType="end"/>
            </w:r>
          </w:hyperlink>
        </w:p>
        <w:p w14:paraId="04444F45" w14:textId="04885863" w:rsidR="00A932C3" w:rsidRDefault="00324E68">
          <w:pPr>
            <w:pStyle w:val="TOC1"/>
            <w:tabs>
              <w:tab w:val="right" w:leader="dot" w:pos="10631"/>
            </w:tabs>
          </w:pPr>
          <w:hyperlink w:anchor="_Toc57459">
            <w:r>
              <w:t>Child criminal exploitation (CCE) and child sexual exploitation (CSE)</w:t>
            </w:r>
            <w:r>
              <w:tab/>
            </w:r>
            <w:r>
              <w:fldChar w:fldCharType="begin"/>
            </w:r>
            <w:r>
              <w:instrText>PAGEREF _Toc57459 \h</w:instrText>
            </w:r>
            <w:r>
              <w:fldChar w:fldCharType="separate"/>
            </w:r>
            <w:r>
              <w:rPr>
                <w:noProof/>
              </w:rPr>
              <w:t>27</w:t>
            </w:r>
            <w:r>
              <w:fldChar w:fldCharType="end"/>
            </w:r>
          </w:hyperlink>
        </w:p>
        <w:p w14:paraId="4BA1B959" w14:textId="69C485DE" w:rsidR="00A932C3" w:rsidRDefault="00324E68">
          <w:pPr>
            <w:pStyle w:val="TOC1"/>
            <w:tabs>
              <w:tab w:val="right" w:leader="dot" w:pos="10631"/>
            </w:tabs>
          </w:pPr>
          <w:hyperlink w:anchor="_Toc57460">
            <w:r>
              <w:t>Children and the court system</w:t>
            </w:r>
            <w:r>
              <w:tab/>
            </w:r>
            <w:r>
              <w:fldChar w:fldCharType="begin"/>
            </w:r>
            <w:r>
              <w:instrText>PAGEREF _Toc57460 \h</w:instrText>
            </w:r>
            <w:r>
              <w:fldChar w:fldCharType="separate"/>
            </w:r>
            <w:r>
              <w:rPr>
                <w:noProof/>
              </w:rPr>
              <w:t>29</w:t>
            </w:r>
            <w:r>
              <w:fldChar w:fldCharType="end"/>
            </w:r>
          </w:hyperlink>
        </w:p>
        <w:p w14:paraId="1650566A" w14:textId="342D2DE8" w:rsidR="00A932C3" w:rsidRDefault="00324E68">
          <w:pPr>
            <w:pStyle w:val="TOC1"/>
            <w:tabs>
              <w:tab w:val="right" w:leader="dot" w:pos="10631"/>
            </w:tabs>
          </w:pPr>
          <w:hyperlink w:anchor="_Toc57461">
            <w:r>
              <w:t>Children who are absent from education</w:t>
            </w:r>
            <w:r>
              <w:tab/>
            </w:r>
            <w:r>
              <w:fldChar w:fldCharType="begin"/>
            </w:r>
            <w:r>
              <w:instrText>PAGEREF _Toc57461 \h</w:instrText>
            </w:r>
            <w:r>
              <w:fldChar w:fldCharType="separate"/>
            </w:r>
            <w:r>
              <w:rPr>
                <w:noProof/>
              </w:rPr>
              <w:t>30</w:t>
            </w:r>
            <w:r>
              <w:fldChar w:fldCharType="end"/>
            </w:r>
          </w:hyperlink>
        </w:p>
        <w:p w14:paraId="230FD423" w14:textId="6D899FB6" w:rsidR="00A932C3" w:rsidRDefault="00324E68">
          <w:pPr>
            <w:pStyle w:val="TOC1"/>
            <w:tabs>
              <w:tab w:val="right" w:leader="dot" w:pos="10631"/>
            </w:tabs>
          </w:pPr>
          <w:hyperlink w:anchor="_Toc57462">
            <w:r>
              <w:t>Children with family members in prison</w:t>
            </w:r>
            <w:r>
              <w:tab/>
            </w:r>
            <w:r>
              <w:fldChar w:fldCharType="begin"/>
            </w:r>
            <w:r>
              <w:instrText>PAGEREF _Toc57462 \h</w:instrText>
            </w:r>
            <w:r>
              <w:fldChar w:fldCharType="separate"/>
            </w:r>
            <w:r>
              <w:rPr>
                <w:noProof/>
              </w:rPr>
              <w:t>30</w:t>
            </w:r>
            <w:r>
              <w:fldChar w:fldCharType="end"/>
            </w:r>
          </w:hyperlink>
        </w:p>
        <w:p w14:paraId="3149FBF6" w14:textId="2FA65F81" w:rsidR="00A932C3" w:rsidRDefault="00324E68">
          <w:pPr>
            <w:pStyle w:val="TOC1"/>
            <w:tabs>
              <w:tab w:val="right" w:leader="dot" w:pos="10631"/>
            </w:tabs>
          </w:pPr>
          <w:hyperlink w:anchor="_Toc57463">
            <w:r>
              <w:t>Cybercrime</w:t>
            </w:r>
            <w:r>
              <w:tab/>
            </w:r>
            <w:r>
              <w:fldChar w:fldCharType="begin"/>
            </w:r>
            <w:r>
              <w:instrText>PAGEREF _Toc57463 \h</w:instrText>
            </w:r>
            <w:r>
              <w:fldChar w:fldCharType="separate"/>
            </w:r>
            <w:r>
              <w:rPr>
                <w:noProof/>
              </w:rPr>
              <w:t>30</w:t>
            </w:r>
            <w:r>
              <w:fldChar w:fldCharType="end"/>
            </w:r>
          </w:hyperlink>
        </w:p>
        <w:p w14:paraId="7E53DD83" w14:textId="577965B7" w:rsidR="00A932C3" w:rsidRDefault="00324E68">
          <w:pPr>
            <w:pStyle w:val="TOC1"/>
            <w:tabs>
              <w:tab w:val="right" w:leader="dot" w:pos="10631"/>
            </w:tabs>
          </w:pPr>
          <w:hyperlink w:anchor="_Toc57464">
            <w:r>
              <w:t>Domestic abuse</w:t>
            </w:r>
            <w:r>
              <w:tab/>
            </w:r>
            <w:r>
              <w:fldChar w:fldCharType="begin"/>
            </w:r>
            <w:r>
              <w:instrText>PAGEREF _Toc57464 \h</w:instrText>
            </w:r>
            <w:r>
              <w:fldChar w:fldCharType="separate"/>
            </w:r>
            <w:r>
              <w:rPr>
                <w:noProof/>
              </w:rPr>
              <w:t>31</w:t>
            </w:r>
            <w:r>
              <w:fldChar w:fldCharType="end"/>
            </w:r>
          </w:hyperlink>
        </w:p>
        <w:p w14:paraId="7265DFED" w14:textId="1B78BC8B" w:rsidR="00A932C3" w:rsidRDefault="00324E68">
          <w:pPr>
            <w:pStyle w:val="TOC1"/>
            <w:tabs>
              <w:tab w:val="right" w:leader="dot" w:pos="10631"/>
            </w:tabs>
          </w:pPr>
          <w:hyperlink w:anchor="_Toc57465">
            <w:r>
              <w:t>Homelessness</w:t>
            </w:r>
            <w:r>
              <w:tab/>
            </w:r>
            <w:r>
              <w:fldChar w:fldCharType="begin"/>
            </w:r>
            <w:r>
              <w:instrText>PAGEREF _Toc57465 \h</w:instrText>
            </w:r>
            <w:r>
              <w:fldChar w:fldCharType="separate"/>
            </w:r>
            <w:r>
              <w:rPr>
                <w:noProof/>
              </w:rPr>
              <w:t>34</w:t>
            </w:r>
            <w:r>
              <w:fldChar w:fldCharType="end"/>
            </w:r>
          </w:hyperlink>
        </w:p>
        <w:p w14:paraId="494C7252" w14:textId="693866AB" w:rsidR="00A932C3" w:rsidRDefault="00324E68">
          <w:pPr>
            <w:pStyle w:val="TOC1"/>
            <w:tabs>
              <w:tab w:val="right" w:leader="dot" w:pos="10631"/>
            </w:tabs>
          </w:pPr>
          <w:hyperlink w:anchor="_Toc57466">
            <w:r>
              <w:t>Modern slavery and the National Referral Mechanism</w:t>
            </w:r>
            <w:r>
              <w:tab/>
            </w:r>
            <w:r>
              <w:fldChar w:fldCharType="begin"/>
            </w:r>
            <w:r>
              <w:instrText>PAGEREF _Toc57466 \h</w:instrText>
            </w:r>
            <w:r>
              <w:fldChar w:fldCharType="separate"/>
            </w:r>
            <w:r>
              <w:rPr>
                <w:noProof/>
              </w:rPr>
              <w:t>35</w:t>
            </w:r>
            <w:r>
              <w:fldChar w:fldCharType="end"/>
            </w:r>
          </w:hyperlink>
        </w:p>
        <w:p w14:paraId="14CA8AEF" w14:textId="0E29F253" w:rsidR="00A932C3" w:rsidRDefault="00324E68">
          <w:pPr>
            <w:pStyle w:val="TOC1"/>
            <w:tabs>
              <w:tab w:val="right" w:leader="dot" w:pos="10631"/>
            </w:tabs>
          </w:pPr>
          <w:hyperlink w:anchor="_Toc57467">
            <w:r>
              <w:t>Preventing radicalisation</w:t>
            </w:r>
            <w:r>
              <w:tab/>
            </w:r>
            <w:r>
              <w:fldChar w:fldCharType="begin"/>
            </w:r>
            <w:r>
              <w:instrText>PAGEREF _Toc57467 \h</w:instrText>
            </w:r>
            <w:r>
              <w:fldChar w:fldCharType="separate"/>
            </w:r>
            <w:r>
              <w:rPr>
                <w:noProof/>
              </w:rPr>
              <w:t>36</w:t>
            </w:r>
            <w:r>
              <w:fldChar w:fldCharType="end"/>
            </w:r>
          </w:hyperlink>
        </w:p>
        <w:p w14:paraId="3940AFD1" w14:textId="5112022E" w:rsidR="00A932C3" w:rsidRDefault="00324E68">
          <w:pPr>
            <w:pStyle w:val="TOC1"/>
            <w:tabs>
              <w:tab w:val="right" w:leader="dot" w:pos="10631"/>
            </w:tabs>
          </w:pPr>
          <w:hyperlink w:anchor="_Toc57468">
            <w:r>
              <w:t>Serious violence</w:t>
            </w:r>
            <w:r>
              <w:tab/>
            </w:r>
            <w:r>
              <w:fldChar w:fldCharType="begin"/>
            </w:r>
            <w:r>
              <w:instrText>PAGEREF _Toc57468 \h</w:instrText>
            </w:r>
            <w:r>
              <w:fldChar w:fldCharType="separate"/>
            </w:r>
            <w:r>
              <w:rPr>
                <w:noProof/>
              </w:rPr>
              <w:t>38</w:t>
            </w:r>
            <w:r>
              <w:fldChar w:fldCharType="end"/>
            </w:r>
          </w:hyperlink>
        </w:p>
        <w:p w14:paraId="01A5B939" w14:textId="50C083A7" w:rsidR="00A932C3" w:rsidRDefault="00324E68">
          <w:pPr>
            <w:pStyle w:val="TOC1"/>
            <w:tabs>
              <w:tab w:val="right" w:leader="dot" w:pos="10631"/>
            </w:tabs>
          </w:pPr>
          <w:hyperlink w:anchor="_Toc57469">
            <w:r>
              <w:t>Honour or faith-based abuse (including female genital mutilation and forced marriage)</w:t>
            </w:r>
            <w:r>
              <w:tab/>
            </w:r>
            <w:r>
              <w:fldChar w:fldCharType="begin"/>
            </w:r>
            <w:r>
              <w:instrText>PAGEREF _Toc57469 \h</w:instrText>
            </w:r>
            <w:r>
              <w:fldChar w:fldCharType="separate"/>
            </w:r>
            <w:r>
              <w:rPr>
                <w:noProof/>
              </w:rPr>
              <w:t>39</w:t>
            </w:r>
            <w:r>
              <w:fldChar w:fldCharType="end"/>
            </w:r>
          </w:hyperlink>
        </w:p>
        <w:p w14:paraId="4DBF8072" w14:textId="5BD849B5" w:rsidR="00A932C3" w:rsidRDefault="00324E68">
          <w:pPr>
            <w:pStyle w:val="TOC1"/>
            <w:tabs>
              <w:tab w:val="right" w:leader="dot" w:pos="10631"/>
            </w:tabs>
          </w:pPr>
          <w:hyperlink w:anchor="_Toc57470">
            <w:r>
              <w:t>Additional advice and support</w:t>
            </w:r>
            <w:r>
              <w:tab/>
            </w:r>
            <w:r>
              <w:fldChar w:fldCharType="begin"/>
            </w:r>
            <w:r>
              <w:instrText>PAGEREF _Toc57470 \h</w:instrText>
            </w:r>
            <w:r>
              <w:fldChar w:fldCharType="separate"/>
            </w:r>
            <w:r>
              <w:rPr>
                <w:noProof/>
              </w:rPr>
              <w:t>41</w:t>
            </w:r>
            <w:r>
              <w:fldChar w:fldCharType="end"/>
            </w:r>
          </w:hyperlink>
        </w:p>
        <w:p w14:paraId="46AF6CDB" w14:textId="77777777" w:rsidR="00A932C3" w:rsidRDefault="00324E68">
          <w:r>
            <w:fldChar w:fldCharType="end"/>
          </w:r>
        </w:p>
      </w:sdtContent>
    </w:sdt>
    <w:p w14:paraId="52EFF1E3" w14:textId="77777777" w:rsidR="00A932C3" w:rsidRDefault="00324E68">
      <w:pPr>
        <w:spacing w:after="254" w:line="259" w:lineRule="auto"/>
        <w:ind w:left="1" w:firstLine="0"/>
      </w:pPr>
      <w:r>
        <w:rPr>
          <w:sz w:val="22"/>
        </w:rPr>
        <w:t xml:space="preserve"> </w:t>
      </w:r>
    </w:p>
    <w:p w14:paraId="5A1F739F" w14:textId="77777777" w:rsidR="00A932C3" w:rsidRDefault="00324E68">
      <w:pPr>
        <w:spacing w:after="0" w:line="259" w:lineRule="auto"/>
        <w:ind w:left="1" w:firstLine="0"/>
      </w:pPr>
      <w:r>
        <w:rPr>
          <w:b/>
          <w:color w:val="104F75"/>
          <w:sz w:val="32"/>
        </w:rPr>
        <w:t xml:space="preserve"> </w:t>
      </w:r>
    </w:p>
    <w:p w14:paraId="03A372A8" w14:textId="77777777" w:rsidR="00A932C3" w:rsidRDefault="00324E68">
      <w:pPr>
        <w:spacing w:after="0" w:line="259" w:lineRule="auto"/>
        <w:ind w:left="1" w:firstLine="0"/>
      </w:pPr>
      <w:r>
        <w:rPr>
          <w:b/>
          <w:color w:val="104F75"/>
          <w:sz w:val="32"/>
        </w:rPr>
        <w:t xml:space="preserve"> </w:t>
      </w:r>
    </w:p>
    <w:p w14:paraId="30724CFB" w14:textId="77777777" w:rsidR="00A932C3" w:rsidRDefault="00324E68">
      <w:pPr>
        <w:spacing w:after="0" w:line="259" w:lineRule="auto"/>
        <w:ind w:left="1" w:firstLine="0"/>
      </w:pPr>
      <w:r>
        <w:rPr>
          <w:b/>
          <w:color w:val="104F75"/>
          <w:sz w:val="32"/>
        </w:rPr>
        <w:t xml:space="preserve"> </w:t>
      </w:r>
    </w:p>
    <w:p w14:paraId="2C000AA2" w14:textId="77777777" w:rsidR="00A932C3" w:rsidRDefault="00324E68">
      <w:pPr>
        <w:spacing w:after="0" w:line="259" w:lineRule="auto"/>
        <w:ind w:left="1" w:firstLine="0"/>
      </w:pPr>
      <w:r>
        <w:rPr>
          <w:b/>
          <w:i/>
          <w:sz w:val="28"/>
        </w:rPr>
        <w:t xml:space="preserve"> </w:t>
      </w:r>
    </w:p>
    <w:p w14:paraId="18A4AD57" w14:textId="77777777" w:rsidR="00A932C3" w:rsidRDefault="00324E68">
      <w:pPr>
        <w:pStyle w:val="Heading1"/>
        <w:spacing w:after="324"/>
        <w:ind w:left="-4"/>
      </w:pPr>
      <w:bookmarkStart w:id="0" w:name="_Toc57458"/>
      <w:r>
        <w:t xml:space="preserve">Child abduction and community safety incidents  </w:t>
      </w:r>
      <w:bookmarkEnd w:id="0"/>
    </w:p>
    <w:p w14:paraId="009A96D6" w14:textId="77777777" w:rsidR="00A932C3" w:rsidRDefault="00324E68">
      <w:pPr>
        <w:spacing w:after="370"/>
        <w:ind w:left="-4" w:right="10"/>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45993402" w14:textId="77777777" w:rsidR="00A932C3" w:rsidRDefault="00324E68">
      <w:pPr>
        <w:spacing w:after="369"/>
        <w:ind w:left="-4" w:right="10"/>
      </w:pPr>
      <w:r>
        <w:t xml:space="preserve">Other community safety incidents in the vicinity of a school can raise concerns amongst children and parents, for example, people loitering nearby or unknown adults engaging children in conversation.  </w:t>
      </w:r>
    </w:p>
    <w:p w14:paraId="216D0746" w14:textId="77777777" w:rsidR="00A932C3" w:rsidRDefault="00324E68">
      <w:pPr>
        <w:spacing w:after="370"/>
        <w:ind w:left="-4" w:right="10"/>
      </w:pPr>
      <w:r>
        <w:t xml:space="preserve">As children get older and are granted more independence (for example, as they start walking to school on their own) it is important they are given practical advice on how to keep themselves safe. All schools are required to teach about personal safety through the RSHE curriculum. Many schools provide outdoor-safety lessons run by teachers or by local police staff.  </w:t>
      </w:r>
    </w:p>
    <w:p w14:paraId="6EBCBF80" w14:textId="77777777" w:rsidR="00A932C3" w:rsidRDefault="00324E68">
      <w:pPr>
        <w:spacing w:after="70"/>
        <w:ind w:left="-4" w:right="10"/>
      </w:pPr>
      <w:r>
        <w:t xml:space="preserve">It is important that lessons focus on building children’s confidence and abilities rather than simply warning them about all strangers. Further information is available at: </w:t>
      </w:r>
      <w:hyperlink r:id="rId83">
        <w:r>
          <w:rPr>
            <w:color w:val="467886"/>
            <w:u w:val="single" w:color="467886"/>
          </w:rPr>
          <w:t>www.actionagainstabduction.org</w:t>
        </w:r>
      </w:hyperlink>
      <w:hyperlink r:id="rId84">
        <w:r>
          <w:rPr>
            <w:color w:val="0F4761"/>
          </w:rPr>
          <w:t xml:space="preserve"> </w:t>
        </w:r>
      </w:hyperlink>
      <w:r>
        <w:rPr>
          <w:color w:val="0F4761"/>
        </w:rPr>
        <w:t xml:space="preserve">and </w:t>
      </w:r>
      <w:hyperlink r:id="rId85">
        <w:r>
          <w:rPr>
            <w:color w:val="467886"/>
            <w:u w:val="single" w:color="467886"/>
          </w:rPr>
          <w:t>www.clevernevergoes.org</w:t>
        </w:r>
      </w:hyperlink>
      <w:hyperlink r:id="rId86">
        <w:r>
          <w:rPr>
            <w:color w:val="0F4761"/>
          </w:rPr>
          <w:t>.</w:t>
        </w:r>
      </w:hyperlink>
      <w:r>
        <w:rPr>
          <w:color w:val="0F4761"/>
        </w:rPr>
        <w:t xml:space="preserve"> </w:t>
      </w:r>
      <w:r>
        <w:t xml:space="preserve"> </w:t>
      </w:r>
    </w:p>
    <w:p w14:paraId="5A0B7EBF" w14:textId="77777777" w:rsidR="00A932C3" w:rsidRDefault="00324E68">
      <w:pPr>
        <w:spacing w:after="218" w:line="259" w:lineRule="auto"/>
        <w:ind w:left="1" w:firstLine="0"/>
      </w:pPr>
      <w:r>
        <w:rPr>
          <w:sz w:val="22"/>
        </w:rPr>
        <w:t xml:space="preserve">  </w:t>
      </w:r>
    </w:p>
    <w:p w14:paraId="060A38F0" w14:textId="77777777" w:rsidR="00A932C3" w:rsidRDefault="00324E68">
      <w:pPr>
        <w:pStyle w:val="Heading1"/>
        <w:ind w:left="-4"/>
      </w:pPr>
      <w:bookmarkStart w:id="1" w:name="_Toc57459"/>
      <w:r>
        <w:t>Child criminal exploitation (CCE) and child sexual exploitation (CSE)</w:t>
      </w:r>
      <w:r>
        <w:rPr>
          <w:sz w:val="24"/>
        </w:rPr>
        <w:t xml:space="preserve"> </w:t>
      </w:r>
      <w:bookmarkEnd w:id="1"/>
    </w:p>
    <w:p w14:paraId="5136F09B" w14:textId="77777777" w:rsidR="00A932C3" w:rsidRDefault="00324E68">
      <w:pPr>
        <w:spacing w:after="40" w:line="259" w:lineRule="auto"/>
        <w:ind w:left="1" w:firstLine="0"/>
      </w:pPr>
      <w:r>
        <w:rPr>
          <w:b/>
          <w:color w:val="0F4761"/>
        </w:rPr>
        <w:t xml:space="preserve"> </w:t>
      </w:r>
    </w:p>
    <w:p w14:paraId="43B94499" w14:textId="77777777" w:rsidR="00A932C3" w:rsidRDefault="00324E68">
      <w:pPr>
        <w:spacing w:after="9"/>
        <w:ind w:left="-4" w:right="10"/>
      </w:pPr>
      <w:r>
        <w:t xml:space="preserve">The National Referral Mechanism (NRM) is the UK’s framework for identifying and supporting victims of exploitation and modern slavery. Whatever form it takes, exploitation and modern slavery is child abuse and relevant child protection procedures must be followed if modern slavery or trafficking is suspected, as per the </w:t>
      </w:r>
      <w:hyperlink r:id="rId87">
        <w:r>
          <w:rPr>
            <w:color w:val="467886"/>
            <w:u w:val="single" w:color="467886"/>
          </w:rPr>
          <w:t>Modern Slavery:</w:t>
        </w:r>
      </w:hyperlink>
      <w:hyperlink r:id="rId88">
        <w:r>
          <w:t xml:space="preserve"> </w:t>
        </w:r>
      </w:hyperlink>
      <w:hyperlink r:id="rId89">
        <w:r>
          <w:rPr>
            <w:color w:val="467886"/>
            <w:u w:val="single" w:color="467886"/>
          </w:rPr>
          <w:t>statutory guidance for England and Wales</w:t>
        </w:r>
      </w:hyperlink>
      <w:hyperlink r:id="rId90">
        <w:r>
          <w:rPr>
            <w:color w:val="467886"/>
          </w:rPr>
          <w:t xml:space="preserve"> </w:t>
        </w:r>
      </w:hyperlink>
      <w:hyperlink r:id="rId91">
        <w:r>
          <w:rPr>
            <w:color w:val="467886"/>
            <w:u w:val="single" w:color="467886"/>
          </w:rPr>
          <w:t>(under s49 of the Modern Slavery Act 2015)</w:t>
        </w:r>
      </w:hyperlink>
      <w:hyperlink r:id="rId92">
        <w:r>
          <w:t xml:space="preserve"> </w:t>
        </w:r>
      </w:hyperlink>
      <w:hyperlink r:id="rId93">
        <w:r>
          <w:rPr>
            <w:color w:val="467886"/>
            <w:u w:val="single" w:color="467886"/>
          </w:rPr>
          <w:t>and non-statutory guidance for Scotland and Northern</w:t>
        </w:r>
      </w:hyperlink>
      <w:hyperlink r:id="rId94">
        <w:r>
          <w:rPr>
            <w:color w:val="467886"/>
          </w:rPr>
          <w:t xml:space="preserve"> </w:t>
        </w:r>
      </w:hyperlink>
      <w:hyperlink r:id="rId95">
        <w:r>
          <w:rPr>
            <w:color w:val="467886"/>
            <w:u w:val="single" w:color="467886"/>
          </w:rPr>
          <w:t>Ireland (accessible version) -</w:t>
        </w:r>
      </w:hyperlink>
      <w:hyperlink r:id="rId96">
        <w:r>
          <w:t xml:space="preserve"> </w:t>
        </w:r>
      </w:hyperlink>
      <w:hyperlink r:id="rId97">
        <w:r>
          <w:rPr>
            <w:color w:val="467886"/>
            <w:u w:val="single" w:color="467886"/>
          </w:rPr>
          <w:t>GOV.UK</w:t>
        </w:r>
      </w:hyperlink>
      <w:hyperlink r:id="rId98">
        <w:r>
          <w:t>.</w:t>
        </w:r>
      </w:hyperlink>
      <w:r>
        <w:t xml:space="preserve"> </w:t>
      </w:r>
    </w:p>
    <w:p w14:paraId="358976B4" w14:textId="77777777" w:rsidR="00A932C3" w:rsidRDefault="00324E68">
      <w:pPr>
        <w:spacing w:after="0" w:line="259" w:lineRule="auto"/>
        <w:ind w:left="1" w:firstLine="0"/>
      </w:pPr>
      <w:r>
        <w:t xml:space="preserve"> </w:t>
      </w:r>
    </w:p>
    <w:p w14:paraId="759B980D" w14:textId="77777777" w:rsidR="00A932C3" w:rsidRDefault="00324E68">
      <w:pPr>
        <w:spacing w:after="10"/>
        <w:ind w:left="-4" w:right="10"/>
      </w:pPr>
      <w:r>
        <w:t xml:space="preserve">Some children will also have access to an Independent Child Trafficking Guardian. Independent child trafficking guardians provide advocacy for children and help to promote and support their recovery.  </w:t>
      </w:r>
    </w:p>
    <w:p w14:paraId="6D25218E" w14:textId="77777777" w:rsidR="00A932C3" w:rsidRDefault="00324E68">
      <w:pPr>
        <w:spacing w:after="0" w:line="259" w:lineRule="auto"/>
        <w:ind w:left="1" w:firstLine="0"/>
      </w:pPr>
      <w:r>
        <w:t xml:space="preserve"> </w:t>
      </w:r>
    </w:p>
    <w:p w14:paraId="44854816" w14:textId="77777777" w:rsidR="00A932C3" w:rsidRDefault="00324E68">
      <w:pPr>
        <w:spacing w:after="9"/>
        <w:ind w:left="-4" w:right="10"/>
      </w:pPr>
      <w:r>
        <w:t xml:space="preserve">We know that different forms of harm often overlap, and that perpetrators may subject children and young people to multiple forms of abuse, such as criminal exploitation (including county lines) and sexual exploitation.  </w:t>
      </w:r>
    </w:p>
    <w:p w14:paraId="482B4570" w14:textId="77777777" w:rsidR="00A932C3" w:rsidRDefault="00324E68">
      <w:pPr>
        <w:spacing w:after="0" w:line="259" w:lineRule="auto"/>
        <w:ind w:left="1" w:firstLine="0"/>
      </w:pPr>
      <w:r>
        <w:t xml:space="preserve"> </w:t>
      </w:r>
    </w:p>
    <w:p w14:paraId="3F13C489" w14:textId="77777777" w:rsidR="00A932C3" w:rsidRDefault="00324E68">
      <w:pPr>
        <w:spacing w:after="10"/>
        <w:ind w:left="-4" w:right="10"/>
      </w:pPr>
      <w: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7467965B" w14:textId="77777777" w:rsidR="00A932C3" w:rsidRDefault="00324E68">
      <w:pPr>
        <w:spacing w:after="0" w:line="259" w:lineRule="auto"/>
        <w:ind w:left="1" w:firstLine="0"/>
      </w:pPr>
      <w:r>
        <w:t xml:space="preserve"> </w:t>
      </w:r>
    </w:p>
    <w:p w14:paraId="4500120D" w14:textId="77777777" w:rsidR="00A932C3" w:rsidRDefault="00324E68">
      <w:pPr>
        <w:ind w:left="-4" w:right="10"/>
      </w:pPr>
      <w: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2EC15344" w14:textId="77777777" w:rsidR="00A932C3" w:rsidRDefault="00324E68">
      <w:pPr>
        <w:spacing w:after="0" w:line="259" w:lineRule="auto"/>
        <w:ind w:left="1" w:firstLine="0"/>
      </w:pPr>
      <w:r>
        <w:t xml:space="preserve"> </w:t>
      </w:r>
    </w:p>
    <w:p w14:paraId="49A429AD" w14:textId="77777777" w:rsidR="00A932C3" w:rsidRDefault="00324E68">
      <w:pPr>
        <w:spacing w:after="9"/>
        <w:ind w:left="-4" w:right="10"/>
      </w:pPr>
      <w:r>
        <w:t xml:space="preserve">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  </w:t>
      </w:r>
    </w:p>
    <w:p w14:paraId="39DFA0BF" w14:textId="77777777" w:rsidR="00A932C3" w:rsidRDefault="00324E68">
      <w:pPr>
        <w:spacing w:after="0" w:line="259" w:lineRule="auto"/>
        <w:ind w:left="1" w:firstLine="0"/>
      </w:pPr>
      <w:r>
        <w:t xml:space="preserve"> </w:t>
      </w:r>
    </w:p>
    <w:p w14:paraId="5326A37D" w14:textId="77777777" w:rsidR="00A932C3" w:rsidRDefault="00324E68">
      <w:pPr>
        <w:spacing w:after="135"/>
        <w:ind w:left="-4" w:right="10"/>
      </w:pPr>
      <w:r>
        <w:t xml:space="preserve">Some of the following can be indicators of both child criminal and sexual exploitation where children: </w:t>
      </w:r>
      <w:r>
        <w:rPr>
          <w:sz w:val="28"/>
        </w:rPr>
        <w:t xml:space="preserve"> </w:t>
      </w:r>
    </w:p>
    <w:p w14:paraId="0C5AE607" w14:textId="77777777" w:rsidR="00A932C3" w:rsidRDefault="00324E68">
      <w:pPr>
        <w:numPr>
          <w:ilvl w:val="0"/>
          <w:numId w:val="23"/>
        </w:numPr>
        <w:ind w:right="10" w:hanging="360"/>
      </w:pPr>
      <w:r>
        <w:t xml:space="preserve">appear with unexplained gifts, money or new possessions which could also indicate that children have been approached by, or are involved with, individuals associated with criminal networks or gangs and may be at risk of criminal and sexual exploitation,  </w:t>
      </w:r>
    </w:p>
    <w:p w14:paraId="16375870" w14:textId="77777777" w:rsidR="00A932C3" w:rsidRDefault="00324E68">
      <w:pPr>
        <w:numPr>
          <w:ilvl w:val="0"/>
          <w:numId w:val="23"/>
        </w:numPr>
        <w:ind w:right="10" w:hanging="360"/>
      </w:pPr>
      <w:r>
        <w:t xml:space="preserve">associate with other children involved in exploitation,  </w:t>
      </w:r>
    </w:p>
    <w:p w14:paraId="64487583" w14:textId="77777777" w:rsidR="00A932C3" w:rsidRDefault="00324E68">
      <w:pPr>
        <w:numPr>
          <w:ilvl w:val="0"/>
          <w:numId w:val="23"/>
        </w:numPr>
        <w:ind w:right="10" w:hanging="360"/>
      </w:pPr>
      <w:r>
        <w:t xml:space="preserve">suffer from changes in emotional well-being,  </w:t>
      </w:r>
    </w:p>
    <w:p w14:paraId="4AD0FE9A" w14:textId="77777777" w:rsidR="00A932C3" w:rsidRDefault="00324E68">
      <w:pPr>
        <w:numPr>
          <w:ilvl w:val="0"/>
          <w:numId w:val="23"/>
        </w:numPr>
        <w:ind w:right="10" w:hanging="360"/>
      </w:pPr>
      <w:r>
        <w:t xml:space="preserve">misuse alcohol and other drugs,  </w:t>
      </w:r>
    </w:p>
    <w:p w14:paraId="4EC435E2" w14:textId="77777777" w:rsidR="00A932C3" w:rsidRDefault="00324E68">
      <w:pPr>
        <w:numPr>
          <w:ilvl w:val="0"/>
          <w:numId w:val="23"/>
        </w:numPr>
        <w:ind w:right="10" w:hanging="360"/>
      </w:pPr>
      <w:r>
        <w:t xml:space="preserve">go missing for periods of time or regularly come home late, and  </w:t>
      </w:r>
    </w:p>
    <w:p w14:paraId="5853F412" w14:textId="77777777" w:rsidR="00A932C3" w:rsidRDefault="00324E68">
      <w:pPr>
        <w:numPr>
          <w:ilvl w:val="0"/>
          <w:numId w:val="23"/>
        </w:numPr>
        <w:ind w:right="10" w:hanging="360"/>
      </w:pPr>
      <w:r>
        <w:t xml:space="preserve">regularly miss school or education or do not take part in education.  </w:t>
      </w:r>
    </w:p>
    <w:p w14:paraId="27C72FA1" w14:textId="77777777" w:rsidR="00A932C3" w:rsidRDefault="00324E68">
      <w:pPr>
        <w:spacing w:after="9"/>
        <w:ind w:left="-4" w:right="10"/>
      </w:pPr>
      <w:r>
        <w:t xml:space="preserve">Children who have been exploited will need additional support to help keep them in education. </w:t>
      </w:r>
    </w:p>
    <w:p w14:paraId="1F7B0C35" w14:textId="77777777" w:rsidR="00A932C3" w:rsidRDefault="00324E68">
      <w:pPr>
        <w:spacing w:after="1" w:line="259" w:lineRule="auto"/>
        <w:ind w:left="1" w:firstLine="0"/>
      </w:pPr>
      <w:r>
        <w:t xml:space="preserve"> </w:t>
      </w:r>
    </w:p>
    <w:p w14:paraId="4E900320" w14:textId="77777777" w:rsidR="00A932C3" w:rsidRDefault="00324E68">
      <w:pPr>
        <w:spacing w:after="9"/>
        <w:ind w:left="-4" w:right="10"/>
      </w:pPr>
      <w: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05D4D379" w14:textId="77777777" w:rsidR="00A932C3" w:rsidRDefault="00324E68">
      <w:pPr>
        <w:spacing w:after="0" w:line="259" w:lineRule="auto"/>
        <w:ind w:left="1" w:firstLine="0"/>
      </w:pPr>
      <w:r>
        <w:t xml:space="preserve"> </w:t>
      </w:r>
    </w:p>
    <w:p w14:paraId="50C16B33" w14:textId="77777777" w:rsidR="00A932C3" w:rsidRDefault="00324E68">
      <w:pPr>
        <w:ind w:left="-4" w:right="10"/>
      </w:pPr>
      <w:r>
        <w:t xml:space="preserve">Some additional specific indicators that may be present in CSE are children who:  </w:t>
      </w:r>
    </w:p>
    <w:p w14:paraId="273A5DBE" w14:textId="77777777" w:rsidR="00A932C3" w:rsidRDefault="00324E68">
      <w:pPr>
        <w:numPr>
          <w:ilvl w:val="0"/>
          <w:numId w:val="23"/>
        </w:numPr>
        <w:ind w:right="10" w:hanging="360"/>
      </w:pPr>
      <w:r>
        <w:t xml:space="preserve">have older boyfriends or girlfriends; and  </w:t>
      </w:r>
    </w:p>
    <w:p w14:paraId="052B102D" w14:textId="77777777" w:rsidR="00A932C3" w:rsidRDefault="00324E68">
      <w:pPr>
        <w:numPr>
          <w:ilvl w:val="0"/>
          <w:numId w:val="23"/>
        </w:numPr>
        <w:ind w:right="10" w:hanging="360"/>
      </w:pPr>
      <w:r>
        <w:t xml:space="preserve">suffer from sexually transmitted infections, display sexual behaviours beyond expected sexual development or become pregnant.  </w:t>
      </w:r>
    </w:p>
    <w:p w14:paraId="60185321" w14:textId="77777777" w:rsidR="00A932C3" w:rsidRDefault="00324E68">
      <w:pPr>
        <w:ind w:left="-4" w:right="10"/>
      </w:pPr>
      <w:r>
        <w:t xml:space="preserve">Further information on signs of a child’s involvement in sexual exploitation is available in the DfE guidance: </w:t>
      </w:r>
      <w:hyperlink r:id="rId99">
        <w:r>
          <w:rPr>
            <w:color w:val="467886"/>
            <w:u w:val="single" w:color="467886"/>
          </w:rPr>
          <w:t>Child sexual exploitation: guide for practitioners</w:t>
        </w:r>
      </w:hyperlink>
      <w:hyperlink r:id="rId100">
        <w:r>
          <w:t>.</w:t>
        </w:r>
      </w:hyperlink>
      <w:r>
        <w:t xml:space="preserve">  </w:t>
      </w:r>
    </w:p>
    <w:p w14:paraId="203A0F74" w14:textId="77777777" w:rsidR="00A932C3" w:rsidRDefault="00324E68">
      <w:pPr>
        <w:spacing w:after="219" w:line="259" w:lineRule="auto"/>
        <w:ind w:left="1" w:firstLine="0"/>
      </w:pPr>
      <w:r>
        <w:rPr>
          <w:sz w:val="22"/>
        </w:rPr>
        <w:t xml:space="preserve"> </w:t>
      </w:r>
    </w:p>
    <w:p w14:paraId="6E6F8F48" w14:textId="77777777" w:rsidR="00A932C3" w:rsidRDefault="00324E68">
      <w:pPr>
        <w:pStyle w:val="Heading2"/>
        <w:ind w:left="-4"/>
      </w:pPr>
      <w:r>
        <w:t>County lines</w:t>
      </w:r>
      <w:r>
        <w:rPr>
          <w:sz w:val="24"/>
        </w:rPr>
        <w:t xml:space="preserve"> </w:t>
      </w:r>
    </w:p>
    <w:p w14:paraId="48D8BB8F" w14:textId="77777777" w:rsidR="00A932C3" w:rsidRDefault="00324E68">
      <w:pPr>
        <w:spacing w:after="40" w:line="259" w:lineRule="auto"/>
        <w:ind w:left="1" w:firstLine="0"/>
      </w:pPr>
      <w:r>
        <w:rPr>
          <w:b/>
          <w:color w:val="0F4761"/>
        </w:rPr>
        <w:t xml:space="preserve"> </w:t>
      </w:r>
    </w:p>
    <w:p w14:paraId="3DA04746" w14:textId="77777777" w:rsidR="00A932C3" w:rsidRDefault="00324E68">
      <w:pPr>
        <w:spacing w:after="9"/>
        <w:ind w:left="-4" w:right="10"/>
      </w:pPr>
      <w:r>
        <w:t xml:space="preserve">As county lines is a form of criminal exploitation, a First Responder who identifies any potential victim of county lines exploitation should complete the relevant child protection and modern slavery referrals as detailed in the Modern Slavery statutory guidance.  </w:t>
      </w:r>
    </w:p>
    <w:p w14:paraId="48DB189A" w14:textId="77777777" w:rsidR="00A932C3" w:rsidRDefault="00324E68">
      <w:pPr>
        <w:spacing w:after="0" w:line="259" w:lineRule="auto"/>
        <w:ind w:left="1" w:firstLine="0"/>
      </w:pPr>
      <w:r>
        <w:t xml:space="preserve"> </w:t>
      </w:r>
    </w:p>
    <w:p w14:paraId="184BB36D" w14:textId="77777777" w:rsidR="00A932C3" w:rsidRDefault="00324E68">
      <w:pPr>
        <w:ind w:left="-4" w:right="10"/>
      </w:pPr>
      <w: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2B2F0A28" w14:textId="77777777" w:rsidR="00A932C3" w:rsidRDefault="00324E68">
      <w:pPr>
        <w:spacing w:after="9"/>
        <w:ind w:left="-4" w:right="10"/>
      </w:pPr>
      <w:r>
        <w:t xml:space="preserve">Children can be targeted and recruited into county lines in a number of locations including any type of schools (including special schools), further and higher educational institutions, pupil referral units, children’s homes and care homes.  </w:t>
      </w:r>
    </w:p>
    <w:p w14:paraId="46A564CA" w14:textId="77777777" w:rsidR="00A932C3" w:rsidRDefault="00324E68">
      <w:pPr>
        <w:spacing w:after="0" w:line="259" w:lineRule="auto"/>
        <w:ind w:left="1" w:firstLine="0"/>
      </w:pPr>
      <w:r>
        <w:t xml:space="preserve"> </w:t>
      </w:r>
    </w:p>
    <w:p w14:paraId="5218856E" w14:textId="77777777" w:rsidR="00A932C3" w:rsidRDefault="00324E68">
      <w:pPr>
        <w:spacing w:after="9"/>
        <w:ind w:left="-4" w:right="10"/>
      </w:pPr>
      <w: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11C3A3F5" w14:textId="77777777" w:rsidR="00A932C3" w:rsidRDefault="00324E68">
      <w:pPr>
        <w:spacing w:after="0" w:line="259" w:lineRule="auto"/>
        <w:ind w:left="1" w:firstLine="0"/>
      </w:pPr>
      <w:r>
        <w:t xml:space="preserve"> </w:t>
      </w:r>
    </w:p>
    <w:p w14:paraId="19759D10" w14:textId="77777777" w:rsidR="00A932C3" w:rsidRDefault="00324E68">
      <w:pPr>
        <w:ind w:left="-4" w:right="10"/>
      </w:pPr>
      <w: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501724FC" w14:textId="77777777" w:rsidR="00A932C3" w:rsidRDefault="00324E68">
      <w:pPr>
        <w:numPr>
          <w:ilvl w:val="0"/>
          <w:numId w:val="24"/>
        </w:numPr>
        <w:ind w:right="10" w:hanging="360"/>
      </w:pPr>
      <w:r>
        <w:t xml:space="preserve">go missing (from school or home) and are subsequently found in areas away from their home,  </w:t>
      </w:r>
    </w:p>
    <w:p w14:paraId="22F2BDE7" w14:textId="77777777" w:rsidR="00A932C3" w:rsidRDefault="00324E68">
      <w:pPr>
        <w:numPr>
          <w:ilvl w:val="0"/>
          <w:numId w:val="24"/>
        </w:numPr>
        <w:ind w:right="10" w:hanging="360"/>
      </w:pPr>
      <w:r>
        <w:t xml:space="preserve">have been the victim, perpetrator or alleged perpetrator of serious violence (e.g. knife crime),  </w:t>
      </w:r>
    </w:p>
    <w:p w14:paraId="556BFF0A" w14:textId="77777777" w:rsidR="00A932C3" w:rsidRDefault="00324E68">
      <w:pPr>
        <w:numPr>
          <w:ilvl w:val="0"/>
          <w:numId w:val="24"/>
        </w:numPr>
        <w:ind w:right="10" w:hanging="360"/>
      </w:pPr>
      <w:r>
        <w:t xml:space="preserve">are involved in receiving requests for drugs via a phone line, moving drugs, handing over and collecting money for drugs,  </w:t>
      </w:r>
    </w:p>
    <w:p w14:paraId="2B23FE59" w14:textId="77777777" w:rsidR="00A932C3" w:rsidRDefault="00324E68">
      <w:pPr>
        <w:numPr>
          <w:ilvl w:val="0"/>
          <w:numId w:val="24"/>
        </w:numPr>
        <w:ind w:right="10" w:hanging="360"/>
      </w:pPr>
      <w:r>
        <w:t xml:space="preserve">are exposed to techniques such as ‘plugging’, where drugs are concealed internally to avoid detection,  </w:t>
      </w:r>
    </w:p>
    <w:p w14:paraId="1EE15C66" w14:textId="77777777" w:rsidR="00A932C3" w:rsidRDefault="00324E68">
      <w:pPr>
        <w:numPr>
          <w:ilvl w:val="0"/>
          <w:numId w:val="24"/>
        </w:numPr>
        <w:ind w:right="10" w:hanging="360"/>
      </w:pPr>
      <w:r>
        <w:t xml:space="preserve">are found in accommodation that they have no connection with, often called a ‘trap house’ or ‘cuckooing’ or hotel room where there is drug activity,  </w:t>
      </w:r>
    </w:p>
    <w:p w14:paraId="46A27425" w14:textId="77777777" w:rsidR="00A932C3" w:rsidRDefault="00324E68">
      <w:pPr>
        <w:numPr>
          <w:ilvl w:val="0"/>
          <w:numId w:val="24"/>
        </w:numPr>
        <w:ind w:right="10" w:hanging="360"/>
      </w:pPr>
      <w:r>
        <w:t xml:space="preserve">owe a ‘debt bond’ to their exploiters, and  </w:t>
      </w:r>
    </w:p>
    <w:p w14:paraId="614E8708" w14:textId="77777777" w:rsidR="00A932C3" w:rsidRDefault="00324E68">
      <w:pPr>
        <w:numPr>
          <w:ilvl w:val="0"/>
          <w:numId w:val="24"/>
        </w:numPr>
        <w:ind w:right="10" w:hanging="360"/>
      </w:pPr>
      <w:r>
        <w:t xml:space="preserve">have their bank accounts used to facilitate drug dealing.  </w:t>
      </w:r>
    </w:p>
    <w:p w14:paraId="1C9F24B6" w14:textId="77777777" w:rsidR="00A932C3" w:rsidRDefault="00324E68">
      <w:pPr>
        <w:spacing w:after="208"/>
        <w:ind w:left="-4" w:right="10"/>
      </w:pPr>
      <w:r>
        <w:t xml:space="preserve">Further information on the signs of a child’s involvement in county lines is available in guidance published by the Home Office </w:t>
      </w:r>
      <w:hyperlink r:id="rId101">
        <w:r>
          <w:rPr>
            <w:color w:val="467886"/>
            <w:u w:val="single" w:color="467886"/>
          </w:rPr>
          <w:t>Child exploitation disruption toolkit (accessible) -</w:t>
        </w:r>
      </w:hyperlink>
      <w:hyperlink r:id="rId102">
        <w:r>
          <w:t xml:space="preserve"> </w:t>
        </w:r>
      </w:hyperlink>
      <w:hyperlink r:id="rId103">
        <w:r>
          <w:rPr>
            <w:color w:val="467886"/>
            <w:u w:val="single" w:color="467886"/>
          </w:rPr>
          <w:t>GOV.UK</w:t>
        </w:r>
      </w:hyperlink>
      <w:hyperlink r:id="rId104">
        <w:r>
          <w:t xml:space="preserve"> </w:t>
        </w:r>
      </w:hyperlink>
      <w:r>
        <w:t xml:space="preserve">and The Children’s Society </w:t>
      </w:r>
      <w:hyperlink r:id="rId105">
        <w:r>
          <w:rPr>
            <w:color w:val="467886"/>
            <w:u w:val="single" w:color="467886"/>
          </w:rPr>
          <w:t>County Lines Toolkit For Professionals | The</w:t>
        </w:r>
      </w:hyperlink>
      <w:hyperlink r:id="rId106">
        <w:r>
          <w:t xml:space="preserve"> </w:t>
        </w:r>
      </w:hyperlink>
      <w:hyperlink r:id="rId107">
        <w:r>
          <w:rPr>
            <w:color w:val="467886"/>
            <w:u w:val="single" w:color="467886"/>
          </w:rPr>
          <w:t>Children's Society</w:t>
        </w:r>
      </w:hyperlink>
      <w:hyperlink r:id="rId108">
        <w:r>
          <w:t>.</w:t>
        </w:r>
      </w:hyperlink>
      <w:r>
        <w:t xml:space="preserve">  </w:t>
      </w:r>
    </w:p>
    <w:p w14:paraId="205015B0" w14:textId="77777777" w:rsidR="00A932C3" w:rsidRDefault="00324E68">
      <w:pPr>
        <w:spacing w:after="0" w:line="259" w:lineRule="auto"/>
        <w:ind w:left="1" w:firstLine="0"/>
      </w:pPr>
      <w:r>
        <w:rPr>
          <w:b/>
          <w:color w:val="0F4761"/>
          <w:sz w:val="28"/>
        </w:rPr>
        <w:t xml:space="preserve"> </w:t>
      </w:r>
    </w:p>
    <w:p w14:paraId="3B5CC3ED" w14:textId="77777777" w:rsidR="00A932C3" w:rsidRDefault="00324E68">
      <w:pPr>
        <w:pStyle w:val="Heading1"/>
        <w:ind w:left="-4"/>
      </w:pPr>
      <w:bookmarkStart w:id="2" w:name="_Toc57460"/>
      <w:r>
        <w:t xml:space="preserve">Children and the court system  </w:t>
      </w:r>
      <w:bookmarkEnd w:id="2"/>
    </w:p>
    <w:p w14:paraId="70D51D68" w14:textId="77777777" w:rsidR="00A932C3" w:rsidRDefault="00324E68">
      <w:pPr>
        <w:spacing w:after="20" w:line="259" w:lineRule="auto"/>
        <w:ind w:left="1" w:firstLine="0"/>
      </w:pPr>
      <w:r>
        <w:rPr>
          <w:sz w:val="22"/>
        </w:rPr>
        <w:t xml:space="preserve"> </w:t>
      </w:r>
    </w:p>
    <w:p w14:paraId="3AD61578" w14:textId="77777777" w:rsidR="00A932C3" w:rsidRDefault="00324E68">
      <w:pPr>
        <w:ind w:left="-4" w:right="10"/>
      </w:pPr>
      <w:r>
        <w:t xml:space="preserve">Children are sometimes required to give evidence in criminal courts, either for crimes committed against them or for crimes they have witnessed. There are two age-appropriate guides to support children </w:t>
      </w:r>
      <w:hyperlink r:id="rId109">
        <w:r>
          <w:rPr>
            <w:color w:val="467886"/>
            <w:u w:val="single" w:color="467886"/>
          </w:rPr>
          <w:t>5-11-year olds</w:t>
        </w:r>
      </w:hyperlink>
      <w:hyperlink r:id="rId110">
        <w:r>
          <w:t xml:space="preserve"> </w:t>
        </w:r>
      </w:hyperlink>
      <w:r>
        <w:t xml:space="preserve">and </w:t>
      </w:r>
      <w:hyperlink r:id="rId111">
        <w:r>
          <w:rPr>
            <w:color w:val="467886"/>
            <w:u w:val="single" w:color="467886"/>
          </w:rPr>
          <w:t>12-17 year olds</w:t>
        </w:r>
      </w:hyperlink>
      <w:hyperlink r:id="rId112">
        <w:r>
          <w:t>.</w:t>
        </w:r>
      </w:hyperlink>
      <w:r>
        <w:t xml:space="preserve">  </w:t>
      </w:r>
    </w:p>
    <w:p w14:paraId="42026BA5" w14:textId="77777777" w:rsidR="00A932C3" w:rsidRDefault="00324E68">
      <w:pPr>
        <w:spacing w:after="9"/>
        <w:ind w:left="-4" w:right="10"/>
      </w:pPr>
      <w:r>
        <w:t xml:space="preserve">The guides explain each step of the process, support and special measures that are available. </w:t>
      </w:r>
    </w:p>
    <w:p w14:paraId="71E8649E" w14:textId="77777777" w:rsidR="00A932C3" w:rsidRDefault="00324E68">
      <w:pPr>
        <w:ind w:left="-4" w:right="10"/>
      </w:pPr>
      <w:r>
        <w:t xml:space="preserve">There are diagrams illustrating the courtroom structure and the use of video links is explained.  </w:t>
      </w:r>
    </w:p>
    <w:p w14:paraId="7B68ECC4" w14:textId="77777777" w:rsidR="00A932C3" w:rsidRDefault="00324E68">
      <w:pPr>
        <w:ind w:left="-4" w:right="10"/>
      </w:pPr>
      <w:r>
        <w:t xml:space="preserve">Making child arrangements via the family courts following separation can be stressful and entrench conflict in families. This can be stressful for children. The Ministry of Justice has launched an online </w:t>
      </w:r>
      <w:hyperlink r:id="rId113">
        <w:r>
          <w:rPr>
            <w:color w:val="467886"/>
            <w:u w:val="single" w:color="467886"/>
          </w:rPr>
          <w:t>child arrangements information tool</w:t>
        </w:r>
      </w:hyperlink>
      <w:hyperlink r:id="rId114">
        <w:r>
          <w:t xml:space="preserve"> </w:t>
        </w:r>
      </w:hyperlink>
      <w:r>
        <w:t xml:space="preserve">with clear and concise information on the dispute resolution service. This may be useful for some parents and carers.  </w:t>
      </w:r>
    </w:p>
    <w:p w14:paraId="035026A6" w14:textId="77777777" w:rsidR="00A932C3" w:rsidRDefault="00324E68">
      <w:pPr>
        <w:spacing w:after="216" w:line="259" w:lineRule="auto"/>
        <w:ind w:left="1" w:firstLine="0"/>
      </w:pPr>
      <w:r>
        <w:rPr>
          <w:sz w:val="22"/>
        </w:rPr>
        <w:t xml:space="preserve">  </w:t>
      </w:r>
    </w:p>
    <w:p w14:paraId="34E76321" w14:textId="77777777" w:rsidR="00A932C3" w:rsidRDefault="00324E68">
      <w:pPr>
        <w:pStyle w:val="Heading1"/>
        <w:ind w:left="-4"/>
      </w:pPr>
      <w:bookmarkStart w:id="3" w:name="_Toc57461"/>
      <w:r>
        <w:t xml:space="preserve">Children who are absent from education  </w:t>
      </w:r>
      <w:bookmarkEnd w:id="3"/>
    </w:p>
    <w:p w14:paraId="2BD2C501" w14:textId="77777777" w:rsidR="00A932C3" w:rsidRDefault="00324E68">
      <w:pPr>
        <w:spacing w:after="20" w:line="259" w:lineRule="auto"/>
        <w:ind w:left="1" w:firstLine="0"/>
      </w:pPr>
      <w:r>
        <w:rPr>
          <w:sz w:val="22"/>
        </w:rPr>
        <w:t xml:space="preserve"> </w:t>
      </w:r>
    </w:p>
    <w:p w14:paraId="4FDC83F0" w14:textId="77777777" w:rsidR="00A932C3" w:rsidRDefault="00324E68">
      <w:pPr>
        <w:ind w:left="-4" w:right="10"/>
      </w:pPr>
      <w: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w:t>
      </w:r>
      <w:r>
        <w:t xml:space="preserve">female genital mutilation, honour or faith-based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r>
        <w:rPr>
          <w:sz w:val="22"/>
        </w:rPr>
        <w:t xml:space="preserve"> </w:t>
      </w:r>
    </w:p>
    <w:p w14:paraId="59BE8074" w14:textId="77777777" w:rsidR="00A932C3" w:rsidRDefault="00324E68">
      <w:pPr>
        <w:spacing w:after="217" w:line="259" w:lineRule="auto"/>
        <w:ind w:left="1" w:firstLine="0"/>
      </w:pPr>
      <w:r>
        <w:rPr>
          <w:sz w:val="22"/>
        </w:rPr>
        <w:t xml:space="preserve">  </w:t>
      </w:r>
    </w:p>
    <w:p w14:paraId="7C52BC0D" w14:textId="77777777" w:rsidR="00A932C3" w:rsidRDefault="00324E68">
      <w:pPr>
        <w:pStyle w:val="Heading1"/>
        <w:ind w:left="-4"/>
      </w:pPr>
      <w:bookmarkStart w:id="4" w:name="_Toc57462"/>
      <w:r>
        <w:t xml:space="preserve">Children with family members in prison  </w:t>
      </w:r>
      <w:bookmarkEnd w:id="4"/>
    </w:p>
    <w:p w14:paraId="0D053DBB" w14:textId="77777777" w:rsidR="00A932C3" w:rsidRDefault="00324E68">
      <w:pPr>
        <w:spacing w:after="19" w:line="259" w:lineRule="auto"/>
        <w:ind w:left="1" w:firstLine="0"/>
      </w:pPr>
      <w:r>
        <w:rPr>
          <w:sz w:val="22"/>
        </w:rPr>
        <w:t xml:space="preserve"> </w:t>
      </w:r>
    </w:p>
    <w:p w14:paraId="1D1DDDEB" w14:textId="77777777" w:rsidR="00A932C3" w:rsidRDefault="00324E68">
      <w:pPr>
        <w:spacing w:after="9"/>
        <w:ind w:left="-4" w:right="10"/>
      </w:pPr>
      <w:r>
        <w:t xml:space="preserve">Approximately 193,000 children in England and Wales have a parent in prison each year. They are at risk of poor outcomes as a result of poverty, stigma, isolation and poor mental health. The </w:t>
      </w:r>
      <w:hyperlink r:id="rId115">
        <w:r>
          <w:rPr>
            <w:color w:val="467886"/>
            <w:u w:val="single" w:color="467886"/>
          </w:rPr>
          <w:t>Prisoners’ Families Helpline</w:t>
        </w:r>
      </w:hyperlink>
      <w:hyperlink r:id="rId116">
        <w:r>
          <w:t xml:space="preserve"> </w:t>
        </w:r>
      </w:hyperlink>
      <w:r>
        <w:t xml:space="preserve">offers free, confidential support and advice for families in England and Wales who are in contact with the criminal justice system. </w:t>
      </w:r>
    </w:p>
    <w:p w14:paraId="1DD72F94" w14:textId="77777777" w:rsidR="00A932C3" w:rsidRDefault="00324E68">
      <w:pPr>
        <w:spacing w:after="0" w:line="259" w:lineRule="auto"/>
        <w:ind w:left="1" w:firstLine="0"/>
      </w:pPr>
      <w:r>
        <w:t xml:space="preserve"> </w:t>
      </w:r>
    </w:p>
    <w:p w14:paraId="634904E0" w14:textId="77777777" w:rsidR="00A932C3" w:rsidRDefault="00324E68">
      <w:pPr>
        <w:spacing w:after="9"/>
        <w:ind w:left="-4" w:right="10"/>
      </w:pPr>
      <w:r>
        <w:t xml:space="preserve">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trauma-informed and sensitive support that can help mitigate potential harm and help encourage stability. </w:t>
      </w:r>
      <w:r>
        <w:rPr>
          <w:sz w:val="22"/>
        </w:rPr>
        <w:t xml:space="preserve"> </w:t>
      </w:r>
    </w:p>
    <w:p w14:paraId="034CE37D" w14:textId="77777777" w:rsidR="00A932C3" w:rsidRDefault="00324E68">
      <w:pPr>
        <w:spacing w:after="219" w:line="259" w:lineRule="auto"/>
        <w:ind w:left="1" w:firstLine="0"/>
      </w:pPr>
      <w:r>
        <w:rPr>
          <w:sz w:val="22"/>
        </w:rPr>
        <w:t xml:space="preserve"> </w:t>
      </w:r>
    </w:p>
    <w:p w14:paraId="37BFEB48" w14:textId="77777777" w:rsidR="00A932C3" w:rsidRDefault="00324E68">
      <w:pPr>
        <w:pStyle w:val="Heading1"/>
        <w:ind w:left="-4"/>
      </w:pPr>
      <w:bookmarkStart w:id="5" w:name="_Toc57463"/>
      <w:r>
        <w:t xml:space="preserve">Cybercrime </w:t>
      </w:r>
      <w:r>
        <w:rPr>
          <w:sz w:val="24"/>
        </w:rPr>
        <w:t xml:space="preserve"> </w:t>
      </w:r>
      <w:bookmarkEnd w:id="5"/>
    </w:p>
    <w:p w14:paraId="58B1FDD4" w14:textId="77777777" w:rsidR="00A932C3" w:rsidRDefault="00324E68">
      <w:pPr>
        <w:spacing w:after="40" w:line="259" w:lineRule="auto"/>
        <w:ind w:left="1" w:firstLine="0"/>
      </w:pPr>
      <w:r>
        <w:rPr>
          <w:b/>
          <w:color w:val="0F4761"/>
        </w:rPr>
        <w:t xml:space="preserve"> </w:t>
      </w:r>
    </w:p>
    <w:p w14:paraId="3F63823C" w14:textId="77777777" w:rsidR="00A932C3" w:rsidRDefault="00324E68">
      <w:pPr>
        <w:spacing w:after="9"/>
        <w:ind w:left="-4" w:right="10"/>
      </w:pPr>
      <w: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678817EE" w14:textId="77777777" w:rsidR="00A932C3" w:rsidRDefault="00324E68">
      <w:pPr>
        <w:spacing w:after="1" w:line="259" w:lineRule="auto"/>
        <w:ind w:left="1" w:firstLine="0"/>
      </w:pPr>
      <w:r>
        <w:t xml:space="preserve"> </w:t>
      </w:r>
    </w:p>
    <w:p w14:paraId="6B0AE105" w14:textId="77777777" w:rsidR="00A932C3" w:rsidRDefault="00324E68">
      <w:pPr>
        <w:spacing w:after="9"/>
        <w:ind w:left="-4" w:right="10"/>
      </w:pPr>
      <w:r>
        <w:t xml:space="preserve">Cyber-dependent crime continues to represent one of the most significant and rapidly evolving threats within the United Kingdom’s (UK) crime landscape. Offences under the Computer Misuse Act 1990 (CMA) have risen substantially.  </w:t>
      </w:r>
    </w:p>
    <w:p w14:paraId="1B677BAC" w14:textId="77777777" w:rsidR="00A932C3" w:rsidRDefault="00324E68">
      <w:pPr>
        <w:spacing w:after="0" w:line="259" w:lineRule="auto"/>
        <w:ind w:left="1" w:firstLine="0"/>
      </w:pPr>
      <w:r>
        <w:t xml:space="preserve"> </w:t>
      </w:r>
    </w:p>
    <w:p w14:paraId="6C003CE4" w14:textId="77777777" w:rsidR="00A932C3" w:rsidRDefault="00324E68">
      <w:pPr>
        <w:spacing w:after="10"/>
        <w:ind w:left="-4" w:right="10"/>
      </w:pPr>
      <w:r>
        <w:t xml:space="preserve">Young people across the UK experiment with illegal online activity, often without understanding the legal or ethical implications. The impact of cybercrime extends well beyond immediate financial losses, with scope to cause disruption to national infrastructure.  </w:t>
      </w:r>
    </w:p>
    <w:p w14:paraId="602CD4A3" w14:textId="77777777" w:rsidR="00A932C3" w:rsidRDefault="00324E68">
      <w:pPr>
        <w:spacing w:after="0" w:line="259" w:lineRule="auto"/>
        <w:ind w:left="1" w:firstLine="0"/>
      </w:pPr>
      <w:r>
        <w:t xml:space="preserve"> </w:t>
      </w:r>
    </w:p>
    <w:p w14:paraId="32E65AF1" w14:textId="77777777" w:rsidR="00A932C3" w:rsidRDefault="00324E68">
      <w:pPr>
        <w:ind w:left="-4" w:right="10"/>
      </w:pPr>
      <w:r>
        <w:t xml:space="preserve">Cyber-dependent crimes include:  </w:t>
      </w:r>
    </w:p>
    <w:p w14:paraId="4A3B8E57" w14:textId="77777777" w:rsidR="00A932C3" w:rsidRDefault="00324E68">
      <w:pPr>
        <w:numPr>
          <w:ilvl w:val="0"/>
          <w:numId w:val="25"/>
        </w:numPr>
        <w:ind w:right="10" w:hanging="360"/>
      </w:pPr>
      <w:r>
        <w:t xml:space="preserve">unauthorised access to computers (illegal ‘hacking’), for example accessing a school’s computer network to look for test paper answers or change grades awarded,  </w:t>
      </w:r>
    </w:p>
    <w:p w14:paraId="69D081AF" w14:textId="77777777" w:rsidR="00A932C3" w:rsidRDefault="00324E68">
      <w:pPr>
        <w:numPr>
          <w:ilvl w:val="0"/>
          <w:numId w:val="25"/>
        </w:numPr>
        <w:ind w:right="10" w:hanging="360"/>
      </w:pPr>
      <w:r>
        <w:t xml:space="preserve">‘Denial of Service’ (Dos or DDoS) attacks or ‘booting’. These are attempts to make a computer, network or website unavailable by overwhelming it with internet traffic from multiple sources, and,  </w:t>
      </w:r>
    </w:p>
    <w:p w14:paraId="7F0C0DDB" w14:textId="77777777" w:rsidR="00A932C3" w:rsidRDefault="00324E68">
      <w:pPr>
        <w:numPr>
          <w:ilvl w:val="0"/>
          <w:numId w:val="25"/>
        </w:numPr>
        <w:ind w:right="10" w:hanging="360"/>
      </w:pPr>
      <w:r>
        <w:t xml:space="preserve">making, supplying or obtaining malware (malicious software) such as viruses, spyware, ransomware, botnets and Remote Access Trojans with the intent to commit further offence, including those above.  </w:t>
      </w:r>
    </w:p>
    <w:p w14:paraId="0C7C915C" w14:textId="77777777" w:rsidR="00A932C3" w:rsidRDefault="00324E68">
      <w:pPr>
        <w:spacing w:after="10"/>
        <w:ind w:left="-4" w:right="10"/>
      </w:pPr>
      <w:r>
        <w:t xml:space="preserve">Children with particular skills and interest in computing and technology may inadvertently or deliberately stray into cyber-dependent crime.  </w:t>
      </w:r>
    </w:p>
    <w:p w14:paraId="21E12135" w14:textId="77777777" w:rsidR="00A932C3" w:rsidRDefault="00324E68">
      <w:pPr>
        <w:spacing w:after="0" w:line="259" w:lineRule="auto"/>
        <w:ind w:left="1" w:firstLine="0"/>
      </w:pPr>
      <w:r>
        <w:t xml:space="preserve"> </w:t>
      </w:r>
    </w:p>
    <w:p w14:paraId="54C3BD3A" w14:textId="77777777" w:rsidR="00A932C3" w:rsidRDefault="00324E68">
      <w:pPr>
        <w:spacing w:after="9"/>
        <w:ind w:left="-4" w:right="10"/>
      </w:pPr>
      <w:r>
        <w:t xml:space="preserve">If there are concerns about a child in this area, the designated safeguarding lead (or a deputy), should consider referring into the </w:t>
      </w:r>
      <w:r>
        <w:rPr>
          <w:b/>
        </w:rPr>
        <w:t xml:space="preserve">Cyber Choices </w:t>
      </w:r>
      <w:r>
        <w:t xml:space="preserve">programme. This is a nationwide preventative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743F4524" w14:textId="77777777" w:rsidR="00A932C3" w:rsidRDefault="00324E68">
      <w:pPr>
        <w:spacing w:after="0" w:line="259" w:lineRule="auto"/>
        <w:ind w:left="1" w:firstLine="0"/>
      </w:pPr>
      <w:r>
        <w:t xml:space="preserve"> </w:t>
      </w:r>
    </w:p>
    <w:p w14:paraId="3A4C6592" w14:textId="77777777" w:rsidR="00A932C3" w:rsidRDefault="00324E68">
      <w:pPr>
        <w:spacing w:after="10"/>
        <w:ind w:left="-4" w:right="10"/>
      </w:pPr>
      <w:r>
        <w:t xml:space="preserve">Note that </w:t>
      </w:r>
      <w:r>
        <w:rPr>
          <w:b/>
        </w:rPr>
        <w:t xml:space="preserve">Cyber Choices </w:t>
      </w:r>
      <w:r>
        <w:t xml:space="preserve">does not currently cover ‘cyber-enabled’ crime such as fraud, purchasing of illegal drugs on-line and child sexual abuse and exploitation, nor other areas of concern such as on-line bullying or general on-line safety.  </w:t>
      </w:r>
    </w:p>
    <w:p w14:paraId="1FE176AC" w14:textId="77777777" w:rsidR="00A932C3" w:rsidRDefault="00324E68">
      <w:pPr>
        <w:spacing w:after="0" w:line="259" w:lineRule="auto"/>
        <w:ind w:left="1" w:firstLine="0"/>
      </w:pPr>
      <w:r>
        <w:t xml:space="preserve"> </w:t>
      </w:r>
    </w:p>
    <w:p w14:paraId="279255CA" w14:textId="77777777" w:rsidR="00A932C3" w:rsidRDefault="00324E68">
      <w:pPr>
        <w:spacing w:after="0" w:line="259" w:lineRule="auto"/>
        <w:ind w:left="-4"/>
      </w:pPr>
      <w:r>
        <w:t xml:space="preserve">Additional advice can be found at: </w:t>
      </w:r>
      <w:hyperlink r:id="rId117">
        <w:r>
          <w:rPr>
            <w:color w:val="467886"/>
            <w:u w:val="single" w:color="467886"/>
          </w:rPr>
          <w:t>Cyber Choices</w:t>
        </w:r>
      </w:hyperlink>
      <w:hyperlink r:id="rId118">
        <w:r>
          <w:t>,</w:t>
        </w:r>
      </w:hyperlink>
      <w:hyperlink r:id="rId119">
        <w:r>
          <w:t xml:space="preserve"> </w:t>
        </w:r>
      </w:hyperlink>
      <w:hyperlink r:id="rId120">
        <w:r>
          <w:rPr>
            <w:color w:val="467886"/>
            <w:u w:val="single" w:color="467886"/>
          </w:rPr>
          <w:t>‘NPCC- When to call the Police’</w:t>
        </w:r>
      </w:hyperlink>
      <w:hyperlink r:id="rId121">
        <w:r>
          <w:t xml:space="preserve"> </w:t>
        </w:r>
      </w:hyperlink>
      <w:r>
        <w:t xml:space="preserve">and </w:t>
      </w:r>
      <w:hyperlink r:id="rId122">
        <w:r>
          <w:rPr>
            <w:color w:val="467886"/>
            <w:u w:val="single" w:color="467886"/>
          </w:rPr>
          <w:t>National</w:t>
        </w:r>
      </w:hyperlink>
      <w:hyperlink r:id="rId123">
        <w:r>
          <w:rPr>
            <w:color w:val="467886"/>
          </w:rPr>
          <w:t xml:space="preserve"> </w:t>
        </w:r>
      </w:hyperlink>
      <w:hyperlink r:id="rId124">
        <w:r>
          <w:rPr>
            <w:color w:val="467886"/>
            <w:u w:val="single" w:color="467886"/>
          </w:rPr>
          <w:t>Cyber Security Centre - NCSC.GOV.UK</w:t>
        </w:r>
      </w:hyperlink>
      <w:hyperlink r:id="rId125">
        <w:r>
          <w:rPr>
            <w:i/>
          </w:rPr>
          <w:t>.</w:t>
        </w:r>
      </w:hyperlink>
      <w:r>
        <w:rPr>
          <w:sz w:val="22"/>
        </w:rPr>
        <w:t xml:space="preserve">  </w:t>
      </w:r>
    </w:p>
    <w:p w14:paraId="33F1EDCA" w14:textId="77777777" w:rsidR="00A932C3" w:rsidRDefault="00324E68">
      <w:pPr>
        <w:spacing w:after="60" w:line="259" w:lineRule="auto"/>
        <w:ind w:left="1" w:firstLine="0"/>
      </w:pPr>
      <w:r>
        <w:rPr>
          <w:sz w:val="22"/>
        </w:rPr>
        <w:t xml:space="preserve"> </w:t>
      </w:r>
    </w:p>
    <w:p w14:paraId="633C3C31" w14:textId="77777777" w:rsidR="00A932C3" w:rsidRDefault="00324E68">
      <w:pPr>
        <w:pStyle w:val="Heading1"/>
        <w:spacing w:after="125"/>
        <w:ind w:left="-4"/>
      </w:pPr>
      <w:bookmarkStart w:id="6" w:name="_Toc57464"/>
      <w:r>
        <w:t>Domestic abuse</w:t>
      </w:r>
      <w:r>
        <w:rPr>
          <w:color w:val="000000"/>
          <w:sz w:val="22"/>
        </w:rPr>
        <w:t xml:space="preserve"> </w:t>
      </w:r>
      <w:r>
        <w:rPr>
          <w:b w:val="0"/>
          <w:color w:val="000000"/>
          <w:sz w:val="22"/>
        </w:rPr>
        <w:t xml:space="preserve"> </w:t>
      </w:r>
      <w:bookmarkEnd w:id="6"/>
    </w:p>
    <w:p w14:paraId="18DE0D87" w14:textId="77777777" w:rsidR="00A932C3" w:rsidRDefault="00324E68">
      <w:pPr>
        <w:spacing w:after="10"/>
        <w:ind w:left="-4" w:right="10"/>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w:t>
      </w:r>
      <w:r>
        <w:t xml:space="preserve">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19B9B2D6" w14:textId="77777777" w:rsidR="00A932C3" w:rsidRDefault="00324E68">
      <w:pPr>
        <w:spacing w:after="0" w:line="259" w:lineRule="auto"/>
        <w:ind w:left="1" w:firstLine="0"/>
      </w:pPr>
      <w:r>
        <w:t xml:space="preserve"> </w:t>
      </w:r>
    </w:p>
    <w:p w14:paraId="040E7777" w14:textId="77777777" w:rsidR="00A932C3" w:rsidRDefault="00324E68">
      <w:pPr>
        <w:spacing w:after="9"/>
        <w:ind w:left="-4" w:right="10"/>
      </w:pPr>
      <w:r>
        <w:t>Types of domestic abuse include intimate partner violence, abuse by family members, teenage relationship abuse and child to parent or care giver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w:t>
      </w:r>
      <w:r>
        <w:t xml:space="preserve">t on children.  </w:t>
      </w:r>
    </w:p>
    <w:p w14:paraId="3A09BACA" w14:textId="77777777" w:rsidR="00A932C3" w:rsidRDefault="00324E68">
      <w:pPr>
        <w:spacing w:after="0" w:line="259" w:lineRule="auto"/>
        <w:ind w:left="1" w:firstLine="0"/>
      </w:pPr>
      <w:r>
        <w:t xml:space="preserve"> </w:t>
      </w:r>
    </w:p>
    <w:p w14:paraId="224FB7D1" w14:textId="77777777" w:rsidR="00A932C3" w:rsidRDefault="00324E68">
      <w:pPr>
        <w:spacing w:after="9"/>
        <w:ind w:left="-4" w:right="10"/>
      </w:pPr>
      <w:r>
        <w:t xml:space="preserve">Domestic abuse is one of the most prevalent forms of abuse, with Women’s Aid estimating that 160,000 children are currently living in households where domestic abuse is taking place. This is likely to be an underestimate, however, with much abuse remaining hidden and not coming to the attention of services. All children can witness and be adversely affected by domestic abuse in the context of their home life where domestic abuse occurs between family members. Experiencing domestic abuse can have a serious, </w:t>
      </w:r>
      <w:r>
        <w:t xml:space="preserve">long-lasting emotional and psychological impact on children. In some cases, a child may blame themselves for the abuse or may have had to leave the family home as a result. </w:t>
      </w:r>
      <w:r>
        <w:rPr>
          <w:sz w:val="22"/>
        </w:rPr>
        <w:t xml:space="preserve"> </w:t>
      </w:r>
    </w:p>
    <w:p w14:paraId="674B9DFF" w14:textId="77777777" w:rsidR="00A932C3" w:rsidRDefault="00324E68">
      <w:pPr>
        <w:spacing w:after="20" w:line="259" w:lineRule="auto"/>
        <w:ind w:left="1" w:firstLine="0"/>
      </w:pPr>
      <w:r>
        <w:rPr>
          <w:sz w:val="22"/>
        </w:rPr>
        <w:t xml:space="preserve"> </w:t>
      </w:r>
    </w:p>
    <w:p w14:paraId="5AF92E01" w14:textId="77777777" w:rsidR="00A932C3" w:rsidRDefault="00324E68">
      <w:pPr>
        <w:spacing w:after="9"/>
        <w:ind w:left="-4" w:right="10"/>
      </w:pPr>
      <w: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as set out in paragraphs 57-63 should be followe</w:t>
      </w:r>
      <w:r>
        <w:t xml:space="preserve">d and both young victims and young perpetrators should be offered support. </w:t>
      </w:r>
      <w:r>
        <w:rPr>
          <w:sz w:val="22"/>
        </w:rPr>
        <w:t xml:space="preserve"> </w:t>
      </w:r>
    </w:p>
    <w:p w14:paraId="2466CB8F" w14:textId="77777777" w:rsidR="00A932C3" w:rsidRDefault="00324E68">
      <w:pPr>
        <w:spacing w:after="180" w:line="259" w:lineRule="auto"/>
        <w:ind w:left="1" w:firstLine="0"/>
      </w:pPr>
      <w:r>
        <w:rPr>
          <w:sz w:val="22"/>
        </w:rPr>
        <w:t xml:space="preserve"> </w:t>
      </w:r>
    </w:p>
    <w:p w14:paraId="169BF5B5" w14:textId="77777777" w:rsidR="00A932C3" w:rsidRDefault="00324E68">
      <w:pPr>
        <w:pStyle w:val="Heading3"/>
        <w:ind w:left="-4"/>
      </w:pPr>
      <w:r>
        <w:t xml:space="preserve">Operation Encompass  </w:t>
      </w:r>
    </w:p>
    <w:p w14:paraId="782DE28A" w14:textId="77777777" w:rsidR="00A932C3" w:rsidRDefault="00324E68">
      <w:pPr>
        <w:spacing w:after="9"/>
        <w:ind w:left="-4" w:right="10"/>
      </w:pPr>
      <w:r>
        <w:t>Operation Encompass is an information-sharing scheme between the police and relevant education settings operating in all police forces across England and Wales. In November 2025, a new statutory duty was placed on the police to notify a child’s education setting, and where relevant, local authorities, if they have reasonable grounds to believe a child may be a victim of domestic abuse. This includes all children connected to a household where they have attended a domestic abuse incident; children who are ph</w:t>
      </w:r>
      <w:r>
        <w:t xml:space="preserve">ysically present at the incident, children not physically present during the incident, and situations where a child might reside in another household temporarily or permanently. Operation Encompass report over 2,000 notifications are made to settings every day.  </w:t>
      </w:r>
    </w:p>
    <w:p w14:paraId="1358B468" w14:textId="77777777" w:rsidR="00A932C3" w:rsidRDefault="00324E68">
      <w:pPr>
        <w:spacing w:after="0" w:line="259" w:lineRule="auto"/>
        <w:ind w:left="1" w:firstLine="0"/>
      </w:pPr>
      <w:r>
        <w:t xml:space="preserve"> </w:t>
      </w:r>
    </w:p>
    <w:p w14:paraId="4D0DBF64" w14:textId="77777777" w:rsidR="00A932C3" w:rsidRDefault="00324E68">
      <w:pPr>
        <w:spacing w:after="9"/>
        <w:ind w:left="-4" w:right="10"/>
      </w:pPr>
      <w:r>
        <w:t xml:space="preserve">Educational settings are often the only consistent support available to some children, especially for those who live in isolated or rural communities. The aim of the duty is to support education settings to provide timely, informed support to children affected by domestic abuse, to ensure the school has up to date information about the child’s circumstances and enable immediate support to be put in place according to the child’s needs. This places no new responsibilities on education settings.  </w:t>
      </w:r>
    </w:p>
    <w:p w14:paraId="23742F5B" w14:textId="77777777" w:rsidR="00A932C3" w:rsidRDefault="00324E68">
      <w:pPr>
        <w:spacing w:after="0" w:line="259" w:lineRule="auto"/>
        <w:ind w:left="1" w:firstLine="0"/>
      </w:pPr>
      <w:r>
        <w:t xml:space="preserve"> </w:t>
      </w:r>
    </w:p>
    <w:p w14:paraId="3B49693C" w14:textId="77777777" w:rsidR="00A932C3" w:rsidRDefault="00324E68">
      <w:pPr>
        <w:spacing w:after="10"/>
        <w:ind w:left="-4" w:right="10"/>
      </w:pPr>
      <w:r>
        <w:rPr>
          <w:b/>
        </w:rPr>
        <w:t xml:space="preserve">Operation Encompass does not replace statutory safeguarding procedures or referrals </w:t>
      </w:r>
      <w:r>
        <w:t xml:space="preserve">and applies solely to domestic abuse incidents. Where appropriate, the police and/or schools should make a referral to local authority children’s social care if they are concerned about a child’s welfare.  </w:t>
      </w:r>
    </w:p>
    <w:p w14:paraId="0A56FEF6" w14:textId="77777777" w:rsidR="00A932C3" w:rsidRDefault="00324E68">
      <w:pPr>
        <w:spacing w:after="0" w:line="259" w:lineRule="auto"/>
        <w:ind w:left="1" w:firstLine="0"/>
      </w:pPr>
      <w:r>
        <w:t xml:space="preserve"> </w:t>
      </w:r>
    </w:p>
    <w:p w14:paraId="467FE6E1" w14:textId="77777777" w:rsidR="00A932C3" w:rsidRDefault="00324E68">
      <w:pPr>
        <w:spacing w:after="9"/>
        <w:ind w:left="-4" w:right="10"/>
      </w:pPr>
      <w:r>
        <w:t xml:space="preserve">Forces and educational settings should have an open communication process to determine where a safeguarding referral should be made in accordance with local thresholds. If an officer makes a referral alongside issuing an Operation Encompass notification, they should tell the child’s education setting.  </w:t>
      </w:r>
    </w:p>
    <w:p w14:paraId="33C91277" w14:textId="77777777" w:rsidR="00A932C3" w:rsidRDefault="00324E68">
      <w:pPr>
        <w:spacing w:after="0" w:line="259" w:lineRule="auto"/>
        <w:ind w:left="1" w:firstLine="0"/>
      </w:pPr>
      <w:r>
        <w:t xml:space="preserve"> </w:t>
      </w:r>
    </w:p>
    <w:p w14:paraId="43D63912" w14:textId="77777777" w:rsidR="00A932C3" w:rsidRDefault="00324E68">
      <w:pPr>
        <w:spacing w:after="10"/>
        <w:ind w:left="-4" w:right="10"/>
      </w:pPr>
      <w:r>
        <w:t>The duty applies to all children in education from reception (typically aged 4/5) up to the age of 17, and who are enrolled in registered primary and secondary schools, including independent schools, private schools, alternative provision settings (e.g., Pupil Referral Units), as well as further education colleges or 16 to 19 academies in England or Wales. Police forces must notify the local authority if the child is electively home educated or missing from education. Forces may also make notifications to o</w:t>
      </w:r>
      <w:r>
        <w:t xml:space="preserve">ther settings, for example early years settings or further education provision for young people with SEND, although these are not covered under the duty.  </w:t>
      </w:r>
    </w:p>
    <w:p w14:paraId="0C583937" w14:textId="77777777" w:rsidR="00A932C3" w:rsidRDefault="00324E68">
      <w:pPr>
        <w:spacing w:after="0" w:line="259" w:lineRule="auto"/>
        <w:ind w:left="1" w:firstLine="0"/>
      </w:pPr>
      <w:r>
        <w:t xml:space="preserve"> </w:t>
      </w:r>
    </w:p>
    <w:p w14:paraId="2F97A602" w14:textId="77777777" w:rsidR="00A932C3" w:rsidRDefault="00324E68">
      <w:pPr>
        <w:spacing w:after="9"/>
        <w:ind w:left="-4" w:right="10"/>
      </w:pPr>
      <w:r>
        <w:t xml:space="preserve">More information about the scheme can be found in the statutory guidance for police: </w:t>
      </w:r>
      <w:hyperlink r:id="rId126">
        <w:r>
          <w:rPr>
            <w:color w:val="467886"/>
            <w:u w:val="single" w:color="467886"/>
          </w:rPr>
          <w:t>Duty on police</w:t>
        </w:r>
      </w:hyperlink>
      <w:hyperlink r:id="rId127">
        <w:r>
          <w:rPr>
            <w:color w:val="467886"/>
          </w:rPr>
          <w:t xml:space="preserve"> </w:t>
        </w:r>
      </w:hyperlink>
      <w:hyperlink r:id="rId128">
        <w:r>
          <w:rPr>
            <w:color w:val="467886"/>
            <w:u w:val="single" w:color="467886"/>
          </w:rPr>
          <w:t>forces in England and Wales to notify education establishments of</w:t>
        </w:r>
      </w:hyperlink>
      <w:hyperlink r:id="rId129">
        <w:r>
          <w:t xml:space="preserve"> </w:t>
        </w:r>
      </w:hyperlink>
      <w:hyperlink r:id="rId130">
        <w:r>
          <w:rPr>
            <w:color w:val="467886"/>
            <w:u w:val="single" w:color="467886"/>
          </w:rPr>
          <w:t>domestic abuse incidents:</w:t>
        </w:r>
      </w:hyperlink>
      <w:hyperlink r:id="rId131">
        <w:r>
          <w:rPr>
            <w:color w:val="467886"/>
          </w:rPr>
          <w:t xml:space="preserve"> </w:t>
        </w:r>
      </w:hyperlink>
      <w:hyperlink r:id="rId132">
        <w:r>
          <w:rPr>
            <w:color w:val="467886"/>
            <w:u w:val="single" w:color="467886"/>
          </w:rPr>
          <w:t>Operation Encompass</w:t>
        </w:r>
      </w:hyperlink>
      <w:hyperlink r:id="rId133">
        <w:r>
          <w:t>.</w:t>
        </w:r>
      </w:hyperlink>
      <w:r>
        <w:t xml:space="preserve"> This guidance intends to recognize and respond to children as victims of domestic abuse in their own right. It does not replace existing statutory guidance, including </w:t>
      </w:r>
      <w:hyperlink r:id="rId134">
        <w:r>
          <w:rPr>
            <w:color w:val="467886"/>
            <w:u w:val="single" w:color="467886"/>
          </w:rPr>
          <w:t>Keeping</w:t>
        </w:r>
      </w:hyperlink>
      <w:hyperlink r:id="rId135">
        <w:r>
          <w:rPr>
            <w:color w:val="467886"/>
          </w:rPr>
          <w:t xml:space="preserve"> </w:t>
        </w:r>
      </w:hyperlink>
      <w:hyperlink r:id="rId136">
        <w:r>
          <w:rPr>
            <w:color w:val="467886"/>
            <w:u w:val="single" w:color="467886"/>
          </w:rPr>
          <w:t>children safe in</w:t>
        </w:r>
      </w:hyperlink>
      <w:hyperlink r:id="rId137">
        <w:r>
          <w:t xml:space="preserve"> </w:t>
        </w:r>
      </w:hyperlink>
      <w:hyperlink r:id="rId138">
        <w:r>
          <w:rPr>
            <w:color w:val="467886"/>
            <w:u w:val="single" w:color="467886"/>
          </w:rPr>
          <w:t>education</w:t>
        </w:r>
      </w:hyperlink>
      <w:hyperlink r:id="rId139">
        <w:r>
          <w:t xml:space="preserve"> </w:t>
        </w:r>
      </w:hyperlink>
      <w:r>
        <w:t xml:space="preserve">and </w:t>
      </w:r>
      <w:hyperlink r:id="rId140">
        <w:r>
          <w:rPr>
            <w:color w:val="467886"/>
            <w:u w:val="single" w:color="467886"/>
          </w:rPr>
          <w:t>Working Together to Safeguard Children</w:t>
        </w:r>
      </w:hyperlink>
      <w:hyperlink r:id="rId141">
        <w:r>
          <w:t xml:space="preserve"> </w:t>
        </w:r>
      </w:hyperlink>
      <w:r>
        <w:t xml:space="preserve">in England.  </w:t>
      </w:r>
    </w:p>
    <w:p w14:paraId="67C868F3" w14:textId="77777777" w:rsidR="00A932C3" w:rsidRDefault="00324E68">
      <w:pPr>
        <w:spacing w:after="0" w:line="259" w:lineRule="auto"/>
        <w:ind w:left="1" w:firstLine="0"/>
      </w:pPr>
      <w:r>
        <w:t xml:space="preserve"> </w:t>
      </w:r>
    </w:p>
    <w:p w14:paraId="0E6F2465" w14:textId="77777777" w:rsidR="00A932C3" w:rsidRDefault="00324E68">
      <w:pPr>
        <w:spacing w:after="9"/>
        <w:ind w:left="-4" w:right="10"/>
      </w:pPr>
      <w:r>
        <w:t xml:space="preserve">Additional resources for education settings, including </w:t>
      </w:r>
      <w:hyperlink r:id="rId142">
        <w:r>
          <w:rPr>
            <w:color w:val="467886"/>
            <w:u w:val="single" w:color="467886"/>
          </w:rPr>
          <w:t>Online National Key Adult Training:</w:t>
        </w:r>
      </w:hyperlink>
      <w:hyperlink r:id="rId143">
        <w:r>
          <w:t xml:space="preserve"> </w:t>
        </w:r>
      </w:hyperlink>
      <w:hyperlink r:id="rId144">
        <w:r>
          <w:rPr>
            <w:color w:val="467886"/>
            <w:u w:val="single" w:color="467886"/>
          </w:rPr>
          <w:t>Operation</w:t>
        </w:r>
      </w:hyperlink>
      <w:hyperlink r:id="rId145">
        <w:r>
          <w:rPr>
            <w:color w:val="467886"/>
          </w:rPr>
          <w:t xml:space="preserve"> </w:t>
        </w:r>
      </w:hyperlink>
      <w:hyperlink r:id="rId146">
        <w:r>
          <w:rPr>
            <w:color w:val="467886"/>
            <w:u w:val="single" w:color="467886"/>
          </w:rPr>
          <w:t>Encompass</w:t>
        </w:r>
      </w:hyperlink>
      <w:hyperlink r:id="rId147">
        <w:r>
          <w:t xml:space="preserve"> </w:t>
        </w:r>
      </w:hyperlink>
      <w:r>
        <w:t xml:space="preserve">can be found on the charity’s website </w:t>
      </w:r>
      <w:hyperlink r:id="rId148">
        <w:r>
          <w:rPr>
            <w:color w:val="467886"/>
            <w:u w:val="single" w:color="467886"/>
          </w:rPr>
          <w:t>Home: Operation</w:t>
        </w:r>
      </w:hyperlink>
      <w:hyperlink r:id="rId149">
        <w:r>
          <w:t xml:space="preserve"> </w:t>
        </w:r>
      </w:hyperlink>
      <w:hyperlink r:id="rId150">
        <w:r>
          <w:rPr>
            <w:color w:val="467886"/>
            <w:u w:val="single" w:color="467886"/>
          </w:rPr>
          <w:t>Encompass</w:t>
        </w:r>
      </w:hyperlink>
      <w:hyperlink r:id="rId151">
        <w:r>
          <w:t>.</w:t>
        </w:r>
      </w:hyperlink>
      <w:r>
        <w:rPr>
          <w:sz w:val="22"/>
        </w:rPr>
        <w:t xml:space="preserve">  </w:t>
      </w:r>
    </w:p>
    <w:p w14:paraId="58D402AB" w14:textId="77777777" w:rsidR="00A932C3" w:rsidRDefault="00324E68">
      <w:pPr>
        <w:spacing w:after="21" w:line="259" w:lineRule="auto"/>
        <w:ind w:left="1" w:firstLine="0"/>
      </w:pPr>
      <w:r>
        <w:rPr>
          <w:sz w:val="22"/>
        </w:rPr>
        <w:t xml:space="preserve"> </w:t>
      </w:r>
    </w:p>
    <w:p w14:paraId="58773B01" w14:textId="77777777" w:rsidR="00A932C3" w:rsidRDefault="00324E68">
      <w:pPr>
        <w:pStyle w:val="Heading3"/>
        <w:ind w:left="-4"/>
      </w:pPr>
      <w:r>
        <w:t>Operation Encompass notifications</w:t>
      </w:r>
      <w:r>
        <w:rPr>
          <w:color w:val="000000"/>
          <w:sz w:val="22"/>
        </w:rPr>
        <w:t xml:space="preserve"> </w:t>
      </w:r>
      <w:r>
        <w:rPr>
          <w:b w:val="0"/>
          <w:color w:val="000000"/>
          <w:sz w:val="22"/>
        </w:rPr>
        <w:t xml:space="preserve"> </w:t>
      </w:r>
    </w:p>
    <w:p w14:paraId="711F69E1" w14:textId="77777777" w:rsidR="00A932C3" w:rsidRDefault="00324E68">
      <w:pPr>
        <w:spacing w:after="10"/>
        <w:ind w:left="-4" w:right="10"/>
      </w:pPr>
      <w:r>
        <w:t xml:space="preserve">Operation Encompass involves the sharing of personal and sensitive information about children and families. It is vital that all participants comply with the data protection laws.  </w:t>
      </w:r>
    </w:p>
    <w:p w14:paraId="5D2DD8BE" w14:textId="77777777" w:rsidR="00A932C3" w:rsidRDefault="00324E68">
      <w:pPr>
        <w:spacing w:after="0" w:line="259" w:lineRule="auto"/>
        <w:ind w:left="1" w:firstLine="0"/>
      </w:pPr>
      <w:r>
        <w:t xml:space="preserve"> </w:t>
      </w:r>
    </w:p>
    <w:p w14:paraId="42E0E28A" w14:textId="77777777" w:rsidR="00A932C3" w:rsidRDefault="00324E68">
      <w:pPr>
        <w:ind w:left="-4" w:right="10"/>
      </w:pPr>
      <w:r>
        <w:t xml:space="preserve">Police forces and educational settings are responsible for deciding how and where information about incidents and notifications are made. They must ensure it remains confidential, is held securely, and adheres to the requirements of the data protection laws.  </w:t>
      </w:r>
    </w:p>
    <w:p w14:paraId="485FA917" w14:textId="77777777" w:rsidR="00A932C3" w:rsidRDefault="00324E68">
      <w:pPr>
        <w:spacing w:after="9"/>
        <w:ind w:left="-4" w:right="10"/>
      </w:pPr>
      <w:r>
        <w:t>The designated safeguarding lead is responsible for leading on all safeguarding and child protection matters within an educational setting. They are likely to be the Key Adult for Operation Encompass notifications and are responsible for making safeguarding referrals to appropriate agencies, maintaining up-to-date safeguarding policies and training, overseeing record-keeping, and liaising with families where appropriate. DSLs may wish to use a central safeguarding inbox to ensure they have oversight over al</w:t>
      </w:r>
      <w:r>
        <w:t xml:space="preserve">l Operation Encompass notifications.  </w:t>
      </w:r>
    </w:p>
    <w:p w14:paraId="18E6B2D8" w14:textId="77777777" w:rsidR="00A932C3" w:rsidRDefault="00324E68">
      <w:pPr>
        <w:spacing w:after="0" w:line="259" w:lineRule="auto"/>
        <w:ind w:left="1" w:firstLine="0"/>
      </w:pPr>
      <w:r>
        <w:t xml:space="preserve"> </w:t>
      </w:r>
    </w:p>
    <w:p w14:paraId="6567D9FD" w14:textId="77777777" w:rsidR="00A932C3" w:rsidRDefault="00324E68">
      <w:pPr>
        <w:ind w:left="-4" w:right="10"/>
      </w:pPr>
      <w:r>
        <w:t xml:space="preserve">The notification should include:  </w:t>
      </w:r>
    </w:p>
    <w:p w14:paraId="5C22B0BA" w14:textId="77777777" w:rsidR="00A932C3" w:rsidRDefault="00324E68">
      <w:pPr>
        <w:numPr>
          <w:ilvl w:val="0"/>
          <w:numId w:val="26"/>
        </w:numPr>
        <w:ind w:right="10" w:hanging="360"/>
      </w:pPr>
      <w:r>
        <w:t xml:space="preserve">the name, date of birth and protected characteristics (e.g., disability, race, religion etc.) of any child from that education setting who is related to any adult involved in the incident, whether the adult is the alleged perpetrator or non-abusive relative  </w:t>
      </w:r>
    </w:p>
    <w:p w14:paraId="39E2A60A" w14:textId="77777777" w:rsidR="00A932C3" w:rsidRDefault="00324E68">
      <w:pPr>
        <w:numPr>
          <w:ilvl w:val="0"/>
          <w:numId w:val="26"/>
        </w:numPr>
        <w:ind w:right="10" w:hanging="360"/>
      </w:pPr>
      <w:r>
        <w:t xml:space="preserve">the relationship of the child to the victim and to the perpetrator,  </w:t>
      </w:r>
    </w:p>
    <w:p w14:paraId="470898A3" w14:textId="77777777" w:rsidR="00A932C3" w:rsidRDefault="00324E68">
      <w:pPr>
        <w:numPr>
          <w:ilvl w:val="0"/>
          <w:numId w:val="26"/>
        </w:numPr>
        <w:ind w:right="10" w:hanging="360"/>
      </w:pPr>
      <w:r>
        <w:t xml:space="preserve">the police reference number,  </w:t>
      </w:r>
    </w:p>
    <w:p w14:paraId="2FD4783D" w14:textId="77777777" w:rsidR="00A932C3" w:rsidRDefault="00324E68">
      <w:pPr>
        <w:numPr>
          <w:ilvl w:val="0"/>
          <w:numId w:val="26"/>
        </w:numPr>
        <w:ind w:right="10" w:hanging="360"/>
      </w:pPr>
      <w:r>
        <w:t xml:space="preserve">the location, time and date of the incident,  </w:t>
      </w:r>
    </w:p>
    <w:p w14:paraId="05157988" w14:textId="77777777" w:rsidR="00A932C3" w:rsidRDefault="00324E68">
      <w:pPr>
        <w:numPr>
          <w:ilvl w:val="0"/>
          <w:numId w:val="26"/>
        </w:numPr>
        <w:ind w:right="10" w:hanging="360"/>
      </w:pPr>
      <w:r>
        <w:t xml:space="preserve">if the child was present, and if so, where they were (notifications should be shared even if the child was not present at the particular incident),  </w:t>
      </w:r>
    </w:p>
    <w:p w14:paraId="23E400D1" w14:textId="77777777" w:rsidR="00A932C3" w:rsidRDefault="00324E68">
      <w:pPr>
        <w:numPr>
          <w:ilvl w:val="0"/>
          <w:numId w:val="26"/>
        </w:numPr>
        <w:ind w:right="10" w:hanging="360"/>
      </w:pPr>
      <w:r>
        <w:t xml:space="preserve">the voice of the child, such as what they are saying and how they are behaving, and  </w:t>
      </w:r>
    </w:p>
    <w:p w14:paraId="7D00246B" w14:textId="77777777" w:rsidR="00A932C3" w:rsidRDefault="00324E68">
      <w:pPr>
        <w:numPr>
          <w:ilvl w:val="0"/>
          <w:numId w:val="26"/>
        </w:numPr>
        <w:ind w:right="10" w:hanging="360"/>
      </w:pPr>
      <w:r>
        <w:t xml:space="preserve">the context and the circumstances of the incident, including whether an arrest was made, whether the incident was attended in person or via Rapid Video Response, and where possible, information on previous domestic abuse incidents.  </w:t>
      </w:r>
    </w:p>
    <w:p w14:paraId="09821C8D" w14:textId="77777777" w:rsidR="00A932C3" w:rsidRDefault="00324E68">
      <w:pPr>
        <w:ind w:left="-4" w:right="10"/>
      </w:pPr>
      <w:r>
        <w:t xml:space="preserve">The notification should not include:  </w:t>
      </w:r>
    </w:p>
    <w:p w14:paraId="5F8E147A" w14:textId="77777777" w:rsidR="00A932C3" w:rsidRDefault="00324E68">
      <w:pPr>
        <w:numPr>
          <w:ilvl w:val="0"/>
          <w:numId w:val="26"/>
        </w:numPr>
        <w:ind w:right="10" w:hanging="360"/>
      </w:pPr>
      <w:r>
        <w:t xml:space="preserve">information or reference to sexual offences disclosed at the domestic abuse incident. This must not be disclosed in the notification. Under the Sexual Offences (Amendment) Act 1992, anonymity for victims of sexual offences must be preserved.  </w:t>
      </w:r>
    </w:p>
    <w:p w14:paraId="68B4828E" w14:textId="77777777" w:rsidR="00A932C3" w:rsidRDefault="00324E68">
      <w:pPr>
        <w:spacing w:after="206"/>
        <w:ind w:left="-4" w:right="10"/>
      </w:pPr>
      <w:r>
        <w:t>The Operation Encompass charity provides an advice and helpline service for all staff members from education settings who may be concerned about children who have experienced domestic abuse. The helpline is available from 8:00 to 13:00, Monday to Friday on 0204 513 9990 (charged at local rate).</w:t>
      </w:r>
      <w:r>
        <w:rPr>
          <w:vertAlign w:val="superscript"/>
        </w:rPr>
        <w:footnoteReference w:id="17"/>
      </w:r>
      <w:r>
        <w:t xml:space="preserve">  </w:t>
      </w:r>
    </w:p>
    <w:p w14:paraId="7001738D" w14:textId="77777777" w:rsidR="00A932C3" w:rsidRDefault="00324E68">
      <w:pPr>
        <w:pStyle w:val="Heading3"/>
        <w:ind w:left="-4"/>
      </w:pPr>
      <w:r>
        <w:t xml:space="preserve">National Domestic Abuse Helpline  </w:t>
      </w:r>
    </w:p>
    <w:p w14:paraId="02BACCA1" w14:textId="77777777" w:rsidR="00A932C3" w:rsidRDefault="00324E68">
      <w:pPr>
        <w:ind w:left="-4" w:right="10"/>
      </w:pPr>
      <w: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5348FF40" w14:textId="77777777" w:rsidR="00A932C3" w:rsidRDefault="00324E68">
      <w:pPr>
        <w:ind w:left="-4" w:right="10"/>
      </w:pPr>
      <w:r>
        <w:t xml:space="preserve">Additional advice on identifying children who are affected by domestic abuse and how they can be helped is available at:  </w:t>
      </w:r>
    </w:p>
    <w:p w14:paraId="32750E06" w14:textId="77777777" w:rsidR="00A932C3" w:rsidRDefault="00324E68">
      <w:pPr>
        <w:numPr>
          <w:ilvl w:val="0"/>
          <w:numId w:val="27"/>
        </w:numPr>
        <w:spacing w:after="158" w:line="259" w:lineRule="auto"/>
        <w:ind w:right="5" w:hanging="360"/>
      </w:pPr>
      <w:hyperlink r:id="rId152">
        <w:r>
          <w:rPr>
            <w:color w:val="467886"/>
            <w:u w:val="single" w:color="467886"/>
          </w:rPr>
          <w:t>NSPCC- UK domestic-abuse Signs Symptoms Effects</w:t>
        </w:r>
      </w:hyperlink>
      <w:hyperlink r:id="rId153">
        <w:r>
          <w:t xml:space="preserve"> </w:t>
        </w:r>
      </w:hyperlink>
      <w:r>
        <w:t xml:space="preserve"> </w:t>
      </w:r>
    </w:p>
    <w:p w14:paraId="4FA7C981" w14:textId="77777777" w:rsidR="00A932C3" w:rsidRDefault="00324E68">
      <w:pPr>
        <w:numPr>
          <w:ilvl w:val="0"/>
          <w:numId w:val="27"/>
        </w:numPr>
        <w:spacing w:after="158" w:line="259" w:lineRule="auto"/>
        <w:ind w:right="5" w:hanging="360"/>
      </w:pPr>
      <w:hyperlink r:id="rId154">
        <w:r>
          <w:rPr>
            <w:color w:val="467886"/>
            <w:u w:val="single" w:color="467886"/>
          </w:rPr>
          <w:t>Refuge what is domestic violence/effects of domestic violence on children</w:t>
        </w:r>
      </w:hyperlink>
      <w:hyperlink r:id="rId155">
        <w:r>
          <w:t xml:space="preserve"> </w:t>
        </w:r>
      </w:hyperlink>
      <w:r>
        <w:t xml:space="preserve"> </w:t>
      </w:r>
    </w:p>
    <w:p w14:paraId="72EA4515" w14:textId="77777777" w:rsidR="00A932C3" w:rsidRDefault="00324E68">
      <w:pPr>
        <w:numPr>
          <w:ilvl w:val="0"/>
          <w:numId w:val="27"/>
        </w:numPr>
        <w:spacing w:after="158" w:line="259" w:lineRule="auto"/>
        <w:ind w:right="5" w:hanging="360"/>
      </w:pPr>
      <w:hyperlink r:id="rId156">
        <w:r>
          <w:rPr>
            <w:color w:val="467886"/>
            <w:u w:val="single" w:color="467886"/>
          </w:rPr>
          <w:t>Safe Young Lives: Young people and domestic abuse | Safelives</w:t>
        </w:r>
      </w:hyperlink>
      <w:hyperlink r:id="rId157">
        <w:r>
          <w:t xml:space="preserve"> </w:t>
        </w:r>
      </w:hyperlink>
      <w:r>
        <w:t xml:space="preserve"> </w:t>
      </w:r>
    </w:p>
    <w:p w14:paraId="20693410" w14:textId="77777777" w:rsidR="00A932C3" w:rsidRDefault="00324E68">
      <w:pPr>
        <w:numPr>
          <w:ilvl w:val="0"/>
          <w:numId w:val="27"/>
        </w:numPr>
        <w:ind w:right="5" w:hanging="360"/>
      </w:pPr>
      <w:hyperlink r:id="rId158">
        <w:r>
          <w:rPr>
            <w:color w:val="467886"/>
            <w:u w:val="single" w:color="467886"/>
          </w:rPr>
          <w:t>Domestic abuse: specialist sources of support</w:t>
        </w:r>
      </w:hyperlink>
      <w:hyperlink r:id="rId159">
        <w:r>
          <w:t xml:space="preserve"> </w:t>
        </w:r>
      </w:hyperlink>
      <w:r>
        <w:t xml:space="preserve">(includes information for adult victims, young people facing abuse in their own relationships and parents experiencing child to parent violence/abuse)  </w:t>
      </w:r>
    </w:p>
    <w:p w14:paraId="7EFEFFFB" w14:textId="77777777" w:rsidR="00A932C3" w:rsidRDefault="00324E68">
      <w:pPr>
        <w:numPr>
          <w:ilvl w:val="0"/>
          <w:numId w:val="27"/>
        </w:numPr>
        <w:ind w:right="5" w:hanging="360"/>
      </w:pPr>
      <w:hyperlink r:id="rId160">
        <w:r>
          <w:rPr>
            <w:color w:val="467886"/>
            <w:u w:val="single" w:color="467886"/>
          </w:rPr>
          <w:t>Operation Encompass</w:t>
        </w:r>
      </w:hyperlink>
      <w:hyperlink r:id="rId161">
        <w:r>
          <w:t xml:space="preserve"> </w:t>
        </w:r>
      </w:hyperlink>
      <w:r>
        <w:t xml:space="preserve">(includes information for schools on the impact of domestic abuse on children)  </w:t>
      </w:r>
    </w:p>
    <w:p w14:paraId="17AF4CE7" w14:textId="77777777" w:rsidR="00A932C3" w:rsidRDefault="00324E68">
      <w:pPr>
        <w:numPr>
          <w:ilvl w:val="0"/>
          <w:numId w:val="27"/>
        </w:numPr>
        <w:spacing w:after="207"/>
        <w:ind w:right="5" w:hanging="360"/>
      </w:pPr>
      <w:r>
        <w:t xml:space="preserve">The Home Office publish guidance on </w:t>
      </w:r>
      <w:hyperlink r:id="rId162">
        <w:r>
          <w:rPr>
            <w:color w:val="467886"/>
            <w:u w:val="single" w:color="467886"/>
          </w:rPr>
          <w:t>Controlling or coercive behaviour</w:t>
        </w:r>
      </w:hyperlink>
      <w:hyperlink r:id="rId163">
        <w:r>
          <w:t xml:space="preserve"> </w:t>
        </w:r>
      </w:hyperlink>
      <w:r>
        <w:t xml:space="preserve">which provides clear information on what constitutes controlling or coercive behaviour and how to identify the offence.  </w:t>
      </w:r>
    </w:p>
    <w:p w14:paraId="3B25F231" w14:textId="77777777" w:rsidR="00A932C3" w:rsidRDefault="00324E68">
      <w:pPr>
        <w:pStyle w:val="Heading1"/>
        <w:spacing w:after="43"/>
        <w:ind w:left="-4"/>
      </w:pPr>
      <w:bookmarkStart w:id="7" w:name="_Toc57465"/>
      <w:r>
        <w:t xml:space="preserve">Homelessness  </w:t>
      </w:r>
      <w:bookmarkEnd w:id="7"/>
    </w:p>
    <w:p w14:paraId="39C90516" w14:textId="77777777" w:rsidR="00A932C3" w:rsidRDefault="00324E68">
      <w:pPr>
        <w:spacing w:after="249"/>
        <w:ind w:left="-4" w:right="10"/>
      </w:pPr>
      <w: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w:t>
      </w:r>
      <w:r>
        <w:t xml:space="preserve">/or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6FD4FB2D"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1FD26B10" wp14:editId="666200AE">
                <wp:extent cx="1828800" cy="6858"/>
                <wp:effectExtent l="0" t="0" r="0" b="0"/>
                <wp:docPr id="52524" name="Group 52524"/>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792" name="Shape 57792"/>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2524" style="width:144pt;height:0.539978pt;mso-position-horizontal-relative:char;mso-position-vertical-relative:line" coordsize="18288,68">
                <v:shape id="Shape 57793"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58B4D38C" w14:textId="77777777" w:rsidR="00A932C3" w:rsidRDefault="00324E68">
      <w:pPr>
        <w:spacing w:after="0" w:line="259" w:lineRule="auto"/>
        <w:ind w:left="1" w:firstLine="0"/>
      </w:pPr>
      <w:r>
        <w:t xml:space="preserve"> </w:t>
      </w:r>
    </w:p>
    <w:p w14:paraId="2C2498C6" w14:textId="77777777" w:rsidR="00A932C3" w:rsidRDefault="00324E68">
      <w:pPr>
        <w:spacing w:after="9"/>
        <w:ind w:left="-4" w:right="10"/>
      </w:pPr>
      <w: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64">
        <w:r>
          <w:rPr>
            <w:color w:val="0000FF"/>
            <w:u w:val="single" w:color="0000FF"/>
          </w:rPr>
          <w:t>Homeless</w:t>
        </w:r>
      </w:hyperlink>
      <w:hyperlink r:id="rId165">
        <w:r>
          <w:rPr>
            <w:color w:val="0000FF"/>
          </w:rPr>
          <w:t xml:space="preserve"> </w:t>
        </w:r>
      </w:hyperlink>
      <w:hyperlink r:id="rId166">
        <w:r>
          <w:rPr>
            <w:color w:val="0000FF"/>
            <w:u w:val="single" w:color="0000FF"/>
          </w:rPr>
          <w:t>Reduction Act Factsheets</w:t>
        </w:r>
      </w:hyperlink>
      <w:hyperlink r:id="rId167">
        <w:r>
          <w:t>.</w:t>
        </w:r>
      </w:hyperlink>
      <w:r>
        <w:t xml:space="preserve"> The new duties shift the focus to early intervention and encourages those at risk to seek support as soon as possible, before they are facing a homelessness crisis. </w:t>
      </w:r>
    </w:p>
    <w:p w14:paraId="1305A186" w14:textId="77777777" w:rsidR="00A932C3" w:rsidRDefault="00324E68">
      <w:pPr>
        <w:spacing w:after="1" w:line="259" w:lineRule="auto"/>
        <w:ind w:left="1" w:firstLine="0"/>
      </w:pPr>
      <w:r>
        <w:t xml:space="preserve"> </w:t>
      </w:r>
    </w:p>
    <w:p w14:paraId="5A1250FE" w14:textId="77777777" w:rsidR="00A932C3" w:rsidRDefault="00324E68">
      <w:pPr>
        <w:ind w:left="-4" w:right="10"/>
      </w:pPr>
      <w:r>
        <w:t>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w:t>
      </w:r>
      <w:r>
        <w:t xml:space="preserve">d the designated safeguarding lead (or a deputy) should ensure appropriate referrals are made based on the child’s circumstances. The Ministry of Housing, Communities and Local Government have published joint statutory guidance on the provision of accommodation for 16- and 17-year-olds who may be homeless and/or require accommodation: </w:t>
      </w:r>
      <w:hyperlink r:id="rId168">
        <w:r>
          <w:rPr>
            <w:color w:val="0000FF"/>
            <w:u w:val="single" w:color="0000FF"/>
          </w:rPr>
          <w:t>here</w:t>
        </w:r>
      </w:hyperlink>
      <w:hyperlink r:id="rId169">
        <w:r>
          <w:t>.</w:t>
        </w:r>
      </w:hyperlink>
      <w:r>
        <w:rPr>
          <w:sz w:val="22"/>
        </w:rPr>
        <w:t xml:space="preserve"> </w:t>
      </w:r>
    </w:p>
    <w:p w14:paraId="0BBA0CC6" w14:textId="77777777" w:rsidR="00A932C3" w:rsidRDefault="00324E68">
      <w:pPr>
        <w:spacing w:after="19" w:line="259" w:lineRule="auto"/>
        <w:ind w:left="1" w:firstLine="0"/>
      </w:pPr>
      <w:r>
        <w:rPr>
          <w:b/>
          <w:color w:val="104F75"/>
          <w:sz w:val="22"/>
        </w:rPr>
        <w:t xml:space="preserve"> </w:t>
      </w:r>
    </w:p>
    <w:p w14:paraId="7B88BC00" w14:textId="77777777" w:rsidR="00A932C3" w:rsidRDefault="00324E68">
      <w:pPr>
        <w:pStyle w:val="Heading3"/>
        <w:ind w:left="-4"/>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8C0F212" wp14:editId="7D1374BA">
                <wp:simplePos x="0" y="0"/>
                <wp:positionH relativeFrom="column">
                  <wp:posOffset>3226437</wp:posOffset>
                </wp:positionH>
                <wp:positionV relativeFrom="paragraph">
                  <wp:posOffset>-32680</wp:posOffset>
                </wp:positionV>
                <wp:extent cx="38862" cy="175260"/>
                <wp:effectExtent l="0" t="0" r="0" b="0"/>
                <wp:wrapNone/>
                <wp:docPr id="52525" name="Group 52525"/>
                <wp:cNvGraphicFramePr/>
                <a:graphic xmlns:a="http://schemas.openxmlformats.org/drawingml/2006/main">
                  <a:graphicData uri="http://schemas.microsoft.com/office/word/2010/wordprocessingGroup">
                    <wpg:wgp>
                      <wpg:cNvGrpSpPr/>
                      <wpg:grpSpPr>
                        <a:xfrm>
                          <a:off x="0" y="0"/>
                          <a:ext cx="38862" cy="175260"/>
                          <a:chOff x="0" y="0"/>
                          <a:chExt cx="38862" cy="175260"/>
                        </a:xfrm>
                      </wpg:grpSpPr>
                      <wps:wsp>
                        <wps:cNvPr id="57794" name="Shape 57794"/>
                        <wps:cNvSpPr/>
                        <wps:spPr>
                          <a:xfrm>
                            <a:off x="0" y="0"/>
                            <a:ext cx="38862" cy="175260"/>
                          </a:xfrm>
                          <a:custGeom>
                            <a:avLst/>
                            <a:gdLst/>
                            <a:ahLst/>
                            <a:cxnLst/>
                            <a:rect l="0" t="0" r="0" b="0"/>
                            <a:pathLst>
                              <a:path w="38862" h="175260">
                                <a:moveTo>
                                  <a:pt x="0" y="0"/>
                                </a:moveTo>
                                <a:lnTo>
                                  <a:pt x="38862" y="0"/>
                                </a:lnTo>
                                <a:lnTo>
                                  <a:pt x="38862" y="175260"/>
                                </a:lnTo>
                                <a:lnTo>
                                  <a:pt x="0" y="175260"/>
                                </a:lnTo>
                                <a:lnTo>
                                  <a:pt x="0" y="0"/>
                                </a:lnTo>
                              </a:path>
                            </a:pathLst>
                          </a:custGeom>
                          <a:ln w="0" cap="flat">
                            <a:miter lim="127000"/>
                          </a:ln>
                        </wps:spPr>
                        <wps:style>
                          <a:lnRef idx="0">
                            <a:srgbClr val="000000">
                              <a:alpha val="0"/>
                            </a:srgbClr>
                          </a:lnRef>
                          <a:fillRef idx="1">
                            <a:srgbClr val="C6C6C6"/>
                          </a:fillRef>
                          <a:effectRef idx="0">
                            <a:scrgbClr r="0" g="0" b="0"/>
                          </a:effectRef>
                          <a:fontRef idx="none"/>
                        </wps:style>
                        <wps:bodyPr/>
                      </wps:wsp>
                    </wpg:wgp>
                  </a:graphicData>
                </a:graphic>
              </wp:anchor>
            </w:drawing>
          </mc:Choice>
          <mc:Fallback xmlns:a="http://schemas.openxmlformats.org/drawingml/2006/main">
            <w:pict>
              <v:group id="Group 52525" style="width:3.06pt;height:13.8pt;position:absolute;z-index:-2147483615;mso-position-horizontal-relative:text;mso-position-horizontal:absolute;margin-left:254.05pt;mso-position-vertical-relative:text;margin-top:-2.5733pt;" coordsize="388,1752">
                <v:shape id="Shape 57795" style="position:absolute;width:388;height:1752;left:0;top:0;" coordsize="38862,175260" path="m0,0l38862,0l38862,175260l0,175260l0,0">
                  <v:stroke weight="0pt" endcap="flat" joinstyle="miter" miterlimit="10" on="false" color="#000000" opacity="0"/>
                  <v:fill on="true" color="#c6c6c6"/>
                </v:shape>
              </v:group>
            </w:pict>
          </mc:Fallback>
        </mc:AlternateContent>
      </w:r>
      <w:r>
        <w:t>Temporary accommodation notification duty</w:t>
      </w:r>
      <w:r>
        <w:rPr>
          <w:color w:val="104F75"/>
          <w:sz w:val="22"/>
        </w:rPr>
        <w:t xml:space="preserve"> </w:t>
      </w:r>
      <w:r>
        <w:rPr>
          <w:rFonts w:ascii="Segoe UI" w:eastAsia="Segoe UI" w:hAnsi="Segoe UI" w:cs="Segoe UI"/>
          <w:color w:val="000000"/>
          <w:sz w:val="18"/>
        </w:rPr>
        <w:t xml:space="preserve"> </w:t>
      </w:r>
    </w:p>
    <w:p w14:paraId="47A1556B" w14:textId="77777777" w:rsidR="00A932C3" w:rsidRDefault="00324E68">
      <w:pPr>
        <w:spacing w:after="10"/>
        <w:ind w:left="-4" w:right="10"/>
      </w:pPr>
      <w:r>
        <w:t xml:space="preserve">The Children’s Wellbeing and Schools Act places a new duty on local housing authorities in England to notify educational institutions, health visiting services and general medical practices, when a child is placed in temporary accommodation. This notification should be made when consent has been given from the parent, those with parental responsibility or care of the child, or the child themselves in cases of 16–17-year-olds living independently from their parents.  </w:t>
      </w:r>
    </w:p>
    <w:p w14:paraId="1356C8CF" w14:textId="77777777" w:rsidR="00A932C3" w:rsidRDefault="00324E68">
      <w:pPr>
        <w:spacing w:after="0" w:line="259" w:lineRule="auto"/>
        <w:ind w:left="1" w:firstLine="0"/>
      </w:pPr>
      <w:r>
        <w:t xml:space="preserve"> </w:t>
      </w:r>
    </w:p>
    <w:p w14:paraId="03626600" w14:textId="77777777" w:rsidR="00A932C3" w:rsidRDefault="00324E68">
      <w:pPr>
        <w:spacing w:after="9"/>
        <w:ind w:left="-4" w:right="10"/>
      </w:pPr>
      <w:r>
        <w:t xml:space="preserve">The notification will enable school and college staff to safeguard and promote the welfare of these children at the earliest opportunity and support them to improve their outcomes. Whilst any discussion with the local housing authority should be progressed as appropriate, this notification does not, and should not, replace existing safeguarding and welfare duties nor a referral into local authority children’s social care where a child has been harmed or is at risk of harm. </w:t>
      </w:r>
    </w:p>
    <w:p w14:paraId="70EFB556" w14:textId="77777777" w:rsidR="00A932C3" w:rsidRDefault="00324E68">
      <w:pPr>
        <w:spacing w:after="0" w:line="259" w:lineRule="auto"/>
        <w:ind w:left="1" w:firstLine="0"/>
      </w:pPr>
      <w:r>
        <w:t xml:space="preserve"> </w:t>
      </w:r>
    </w:p>
    <w:p w14:paraId="370C8BF2" w14:textId="77777777" w:rsidR="00A932C3" w:rsidRDefault="00324E68">
      <w:pPr>
        <w:spacing w:after="9"/>
        <w:ind w:left="-4" w:right="10"/>
      </w:pPr>
      <w:r>
        <w:t xml:space="preserve">Specific statutory guidance for local authorities on the temporary accommodation duty will be provided in due course.  </w:t>
      </w:r>
    </w:p>
    <w:p w14:paraId="7761855F" w14:textId="77777777" w:rsidR="00A932C3" w:rsidRDefault="00324E68">
      <w:pPr>
        <w:spacing w:after="198" w:line="259" w:lineRule="auto"/>
        <w:ind w:left="1" w:firstLine="0"/>
      </w:pPr>
      <w:r>
        <w:t xml:space="preserve"> </w:t>
      </w:r>
    </w:p>
    <w:p w14:paraId="73469222" w14:textId="77777777" w:rsidR="00A932C3" w:rsidRDefault="00324E68">
      <w:pPr>
        <w:pStyle w:val="Heading1"/>
        <w:spacing w:after="43"/>
        <w:ind w:left="-4"/>
      </w:pPr>
      <w:bookmarkStart w:id="8" w:name="_Toc57466"/>
      <w:r>
        <w:t xml:space="preserve">Modern slavery and the National Referral Mechanism  </w:t>
      </w:r>
      <w:bookmarkEnd w:id="8"/>
    </w:p>
    <w:p w14:paraId="75610FAB" w14:textId="77777777" w:rsidR="00A932C3" w:rsidRDefault="00324E68">
      <w:pPr>
        <w:spacing w:after="9"/>
        <w:ind w:left="-4" w:right="10"/>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E71FBC1" wp14:editId="25D40271">
                <wp:simplePos x="0" y="0"/>
                <wp:positionH relativeFrom="column">
                  <wp:posOffset>2169543</wp:posOffset>
                </wp:positionH>
                <wp:positionV relativeFrom="paragraph">
                  <wp:posOffset>724361</wp:posOffset>
                </wp:positionV>
                <wp:extent cx="2328672" cy="175261"/>
                <wp:effectExtent l="0" t="0" r="0" b="0"/>
                <wp:wrapNone/>
                <wp:docPr id="52526" name="Group 52526"/>
                <wp:cNvGraphicFramePr/>
                <a:graphic xmlns:a="http://schemas.openxmlformats.org/drawingml/2006/main">
                  <a:graphicData uri="http://schemas.microsoft.com/office/word/2010/wordprocessingGroup">
                    <wpg:wgp>
                      <wpg:cNvGrpSpPr/>
                      <wpg:grpSpPr>
                        <a:xfrm>
                          <a:off x="0" y="0"/>
                          <a:ext cx="2328672" cy="175261"/>
                          <a:chOff x="0" y="0"/>
                          <a:chExt cx="2328672" cy="175261"/>
                        </a:xfrm>
                      </wpg:grpSpPr>
                      <wps:wsp>
                        <wps:cNvPr id="57796" name="Shape 57796"/>
                        <wps:cNvSpPr/>
                        <wps:spPr>
                          <a:xfrm>
                            <a:off x="2286762" y="0"/>
                            <a:ext cx="41910" cy="175261"/>
                          </a:xfrm>
                          <a:custGeom>
                            <a:avLst/>
                            <a:gdLst/>
                            <a:ahLst/>
                            <a:cxnLst/>
                            <a:rect l="0" t="0" r="0" b="0"/>
                            <a:pathLst>
                              <a:path w="41910" h="175261">
                                <a:moveTo>
                                  <a:pt x="0" y="0"/>
                                </a:moveTo>
                                <a:lnTo>
                                  <a:pt x="41910" y="0"/>
                                </a:lnTo>
                                <a:lnTo>
                                  <a:pt x="41910" y="175261"/>
                                </a:lnTo>
                                <a:lnTo>
                                  <a:pt x="0" y="175261"/>
                                </a:lnTo>
                                <a:lnTo>
                                  <a:pt x="0" y="0"/>
                                </a:lnTo>
                              </a:path>
                            </a:pathLst>
                          </a:custGeom>
                          <a:ln w="0" cap="flat">
                            <a:miter lim="127000"/>
                          </a:ln>
                        </wps:spPr>
                        <wps:style>
                          <a:lnRef idx="0">
                            <a:srgbClr val="000000">
                              <a:alpha val="0"/>
                            </a:srgbClr>
                          </a:lnRef>
                          <a:fillRef idx="1">
                            <a:srgbClr val="C6C6C6"/>
                          </a:fillRef>
                          <a:effectRef idx="0">
                            <a:scrgbClr r="0" g="0" b="0"/>
                          </a:effectRef>
                          <a:fontRef idx="none"/>
                        </wps:style>
                        <wps:bodyPr/>
                      </wps:wsp>
                      <wps:wsp>
                        <wps:cNvPr id="57797" name="Shape 57797"/>
                        <wps:cNvSpPr/>
                        <wps:spPr>
                          <a:xfrm>
                            <a:off x="0" y="159259"/>
                            <a:ext cx="2286762" cy="11430"/>
                          </a:xfrm>
                          <a:custGeom>
                            <a:avLst/>
                            <a:gdLst/>
                            <a:ahLst/>
                            <a:cxnLst/>
                            <a:rect l="0" t="0" r="0" b="0"/>
                            <a:pathLst>
                              <a:path w="2286762" h="11430">
                                <a:moveTo>
                                  <a:pt x="0" y="0"/>
                                </a:moveTo>
                                <a:lnTo>
                                  <a:pt x="2286762" y="0"/>
                                </a:lnTo>
                                <a:lnTo>
                                  <a:pt x="2286762" y="11430"/>
                                </a:lnTo>
                                <a:lnTo>
                                  <a:pt x="0" y="11430"/>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xmlns:a="http://schemas.openxmlformats.org/drawingml/2006/main">
            <w:pict>
              <v:group id="Group 52526" style="width:183.36pt;height:13.8pt;position:absolute;z-index:-2147483588;mso-position-horizontal-relative:text;mso-position-horizontal:absolute;margin-left:170.83pt;mso-position-vertical-relative:text;margin-top:57.0363pt;" coordsize="23286,1752">
                <v:shape id="Shape 57798" style="position:absolute;width:419;height:1752;left:22867;top:0;" coordsize="41910,175261" path="m0,0l41910,0l41910,175261l0,175261l0,0">
                  <v:stroke weight="0pt" endcap="flat" joinstyle="miter" miterlimit="10" on="false" color="#000000" opacity="0"/>
                  <v:fill on="true" color="#c6c6c6"/>
                </v:shape>
                <v:shape id="Shape 57799" style="position:absolute;width:22867;height:114;left:0;top:1592;" coordsize="2286762,11430" path="m0,0l2286762,0l2286762,11430l0,11430l0,0">
                  <v:stroke weight="0pt" endcap="flat" joinstyle="miter" miterlimit="10" on="false" color="#000000" opacity="0"/>
                  <v:fill on="true" color="#0000ff"/>
                </v:shape>
              </v:group>
            </w:pict>
          </mc:Fallback>
        </mc:AlternateContent>
      </w:r>
      <w:r>
        <w:t xml:space="preserve">Modern slavery encompasses exploitation, including sexual exploitation, criminal financial exploitation, human trafficking and slavery, servitude and forced or compulsory labour. Exploitation can take many forms, including forced labour, slavery, servitude, forced criminality and the removal of organs. Further information and training for professionals on exploitation and modern slavery is available here - </w:t>
      </w:r>
      <w:hyperlink r:id="rId170" w:anchor="aim">
        <w:r>
          <w:rPr>
            <w:color w:val="0000FF"/>
            <w:u w:val="single" w:color="0000FF"/>
          </w:rPr>
          <w:t>Modern slavery</w:t>
        </w:r>
      </w:hyperlink>
      <w:hyperlink r:id="rId171" w:anchor="aim">
        <w:r>
          <w:rPr>
            <w:color w:val="0000FF"/>
          </w:rPr>
          <w:t xml:space="preserve"> </w:t>
        </w:r>
      </w:hyperlink>
      <w:hyperlink r:id="rId172" w:anchor="aim">
        <w:r>
          <w:rPr>
            <w:color w:val="0000FF"/>
          </w:rPr>
          <w:t>training: resource page - GOV.UK</w:t>
        </w:r>
      </w:hyperlink>
      <w:hyperlink r:id="rId173" w:anchor="aim">
        <w:r>
          <w:t>.</w:t>
        </w:r>
      </w:hyperlink>
      <w:r>
        <w:rPr>
          <w:rFonts w:ascii="Segoe UI" w:eastAsia="Segoe UI" w:hAnsi="Segoe UI" w:cs="Segoe UI"/>
          <w:sz w:val="18"/>
        </w:rPr>
        <w:t xml:space="preserve"> </w:t>
      </w:r>
    </w:p>
    <w:p w14:paraId="27A313ED" w14:textId="77777777" w:rsidR="00A932C3" w:rsidRDefault="00324E68">
      <w:pPr>
        <w:spacing w:after="29" w:line="259" w:lineRule="auto"/>
        <w:ind w:left="1" w:firstLine="0"/>
      </w:pPr>
      <w:r>
        <w:rPr>
          <w:rFonts w:ascii="Segoe UI" w:eastAsia="Segoe UI" w:hAnsi="Segoe UI" w:cs="Segoe UI"/>
          <w:sz w:val="18"/>
        </w:rPr>
        <w:t xml:space="preserve"> </w:t>
      </w:r>
    </w:p>
    <w:p w14:paraId="364027DE" w14:textId="77777777" w:rsidR="00A932C3" w:rsidRDefault="00324E68">
      <w:pPr>
        <w:spacing w:after="10"/>
        <w:ind w:left="-4" w:right="10"/>
      </w:pPr>
      <w:r>
        <w:t xml:space="preserve">The National Referral Mechanism is the system used within the UK to support potential victims of exploitation and modern slavery. Further information on the signs that someone may be a victim of exploitation and modern slavery, the support available to victims and how to refer them to the NRM is available in statutory guidance </w:t>
      </w:r>
      <w:hyperlink r:id="rId174">
        <w:r>
          <w:rPr>
            <w:color w:val="0000FF"/>
            <w:u w:val="single" w:color="0000FF"/>
          </w:rPr>
          <w:t>Modern</w:t>
        </w:r>
      </w:hyperlink>
      <w:hyperlink r:id="rId175">
        <w:r>
          <w:rPr>
            <w:color w:val="0000FF"/>
          </w:rPr>
          <w:t xml:space="preserve"> </w:t>
        </w:r>
      </w:hyperlink>
      <w:hyperlink r:id="rId176">
        <w:r>
          <w:rPr>
            <w:color w:val="0000FF"/>
            <w:u w:val="single" w:color="0000FF"/>
          </w:rPr>
          <w:t>slavery: how to identify and support victims - GOV.UK</w:t>
        </w:r>
      </w:hyperlink>
      <w:hyperlink r:id="rId177">
        <w:r>
          <w:t>.</w:t>
        </w:r>
      </w:hyperlink>
      <w:r>
        <w:rPr>
          <w:sz w:val="22"/>
        </w:rPr>
        <w:t xml:space="preserve"> </w:t>
      </w:r>
    </w:p>
    <w:p w14:paraId="56462F09" w14:textId="77777777" w:rsidR="00A932C3" w:rsidRDefault="00324E68">
      <w:pPr>
        <w:spacing w:after="20" w:line="259" w:lineRule="auto"/>
        <w:ind w:left="1" w:firstLine="0"/>
      </w:pPr>
      <w:r>
        <w:rPr>
          <w:sz w:val="22"/>
        </w:rPr>
        <w:t xml:space="preserve"> </w:t>
      </w:r>
    </w:p>
    <w:p w14:paraId="5D875FBC" w14:textId="77777777" w:rsidR="00A932C3" w:rsidRDefault="00324E68">
      <w:pPr>
        <w:spacing w:after="9"/>
        <w:ind w:left="-4" w:right="10"/>
      </w:pPr>
      <w:r>
        <w:t>Children who are referred into the NRM in England and Wales may also have access to an Independent Child Trafficking Guardian (ICTG)1. ICTGs provide advocacy for children and help to promote and support their recovery.</w:t>
      </w:r>
      <w:r>
        <w:rPr>
          <w:sz w:val="22"/>
        </w:rPr>
        <w:t xml:space="preserve"> </w:t>
      </w:r>
    </w:p>
    <w:p w14:paraId="2D70859E" w14:textId="77777777" w:rsidR="00A932C3" w:rsidRDefault="00324E68">
      <w:pPr>
        <w:spacing w:after="198" w:line="259" w:lineRule="auto"/>
        <w:ind w:left="1" w:firstLine="0"/>
      </w:pPr>
      <w:r>
        <w:rPr>
          <w:b/>
          <w:color w:val="0F4761"/>
        </w:rPr>
        <w:t xml:space="preserve"> </w:t>
      </w:r>
    </w:p>
    <w:p w14:paraId="50C2BB77" w14:textId="77777777" w:rsidR="00A932C3" w:rsidRDefault="00324E68">
      <w:pPr>
        <w:pStyle w:val="Heading1"/>
        <w:spacing w:after="43"/>
        <w:ind w:left="-4"/>
      </w:pPr>
      <w:bookmarkStart w:id="9" w:name="_Toc57467"/>
      <w:r>
        <w:t xml:space="preserve">Preventing radicalisation  </w:t>
      </w:r>
      <w:bookmarkEnd w:id="9"/>
    </w:p>
    <w:p w14:paraId="599E9F7E" w14:textId="77777777" w:rsidR="00A932C3" w:rsidRDefault="00324E68">
      <w:pPr>
        <w:spacing w:after="0"/>
        <w:ind w:left="-4" w:right="1106"/>
      </w:pPr>
      <w:r>
        <w:t>Children may be susceptible to radicalisation into terrorism. Similar to protecting children from other forms of harms and abuse, protecting children from this risk should be a part of a schools or colleges safeguarding approach.</w:t>
      </w:r>
      <w:r>
        <w:rPr>
          <w:rFonts w:ascii="Segoe UI" w:eastAsia="Segoe UI" w:hAnsi="Segoe UI" w:cs="Segoe UI"/>
          <w:sz w:val="18"/>
        </w:rPr>
        <w:t xml:space="preserve"> </w:t>
      </w:r>
    </w:p>
    <w:p w14:paraId="355987C1" w14:textId="77777777" w:rsidR="00A932C3" w:rsidRDefault="00324E68">
      <w:pPr>
        <w:spacing w:after="0" w:line="259" w:lineRule="auto"/>
        <w:ind w:left="1" w:firstLine="0"/>
      </w:pPr>
      <w:r>
        <w:rPr>
          <w:b/>
          <w:color w:val="104F75"/>
        </w:rPr>
        <w:t xml:space="preserve"> </w:t>
      </w:r>
    </w:p>
    <w:p w14:paraId="46B9CEEE" w14:textId="77777777" w:rsidR="00A932C3" w:rsidRDefault="00324E68">
      <w:pPr>
        <w:spacing w:after="0" w:line="285" w:lineRule="auto"/>
        <w:ind w:left="1" w:right="1199" w:firstLine="0"/>
        <w:jc w:val="both"/>
      </w:pPr>
      <w:r>
        <w:rPr>
          <w:b/>
          <w:color w:val="104F75"/>
        </w:rPr>
        <w:t xml:space="preserve">Extremism </w:t>
      </w:r>
      <w:r>
        <w:t>is the vocal or active opposition to our fundamental British values, including democracy, the rule of law, individual liberty, and mutual respect and tolerance of those with different faiths and beliefs.</w:t>
      </w:r>
      <w:r>
        <w:rPr>
          <w:rFonts w:ascii="Segoe UI" w:eastAsia="Segoe UI" w:hAnsi="Segoe UI" w:cs="Segoe UI"/>
          <w:sz w:val="18"/>
        </w:rPr>
        <w:t xml:space="preserve"> </w:t>
      </w:r>
    </w:p>
    <w:p w14:paraId="614455CD" w14:textId="77777777" w:rsidR="00A932C3" w:rsidRDefault="00324E68">
      <w:pPr>
        <w:spacing w:after="0" w:line="259" w:lineRule="auto"/>
        <w:ind w:left="1" w:firstLine="0"/>
      </w:pPr>
      <w:r>
        <w:rPr>
          <w:b/>
          <w:color w:val="104F75"/>
        </w:rPr>
        <w:t xml:space="preserve"> </w:t>
      </w:r>
    </w:p>
    <w:p w14:paraId="159C9568" w14:textId="77777777" w:rsidR="00A932C3" w:rsidRDefault="00324E68">
      <w:pPr>
        <w:spacing w:after="11"/>
        <w:ind w:left="-4" w:right="527"/>
      </w:pPr>
      <w:r>
        <w:rPr>
          <w:b/>
          <w:color w:val="104F75"/>
        </w:rPr>
        <w:t>Radicalisation</w:t>
      </w:r>
      <w:r>
        <w:rPr>
          <w:b/>
          <w:color w:val="104F75"/>
          <w:vertAlign w:val="superscript"/>
        </w:rPr>
        <w:t>18</w:t>
      </w:r>
      <w:r>
        <w:rPr>
          <w:vertAlign w:val="subscript"/>
        </w:rPr>
        <w:t xml:space="preserve"> </w:t>
      </w:r>
      <w:r>
        <w:t>is the process of a person legitimising support for, or use of, terrorist violence.</w:t>
      </w:r>
      <w:r>
        <w:rPr>
          <w:rFonts w:ascii="Segoe UI" w:eastAsia="Segoe UI" w:hAnsi="Segoe UI" w:cs="Segoe UI"/>
          <w:sz w:val="18"/>
        </w:rPr>
        <w:t xml:space="preserve"> </w:t>
      </w:r>
    </w:p>
    <w:p w14:paraId="331C7AE4" w14:textId="77777777" w:rsidR="00A932C3" w:rsidRDefault="00324E68">
      <w:pPr>
        <w:spacing w:after="0" w:line="259" w:lineRule="auto"/>
        <w:ind w:left="1" w:firstLine="0"/>
      </w:pPr>
      <w:r>
        <w:rPr>
          <w:b/>
          <w:color w:val="104F75"/>
        </w:rPr>
        <w:t xml:space="preserve"> </w:t>
      </w:r>
    </w:p>
    <w:p w14:paraId="66A35AF0" w14:textId="77777777" w:rsidR="00A932C3" w:rsidRDefault="00324E68">
      <w:pPr>
        <w:spacing w:after="0" w:line="285" w:lineRule="auto"/>
        <w:ind w:left="1" w:right="1306" w:firstLine="0"/>
        <w:jc w:val="both"/>
      </w:pPr>
      <w:r>
        <w:rPr>
          <w:b/>
          <w:color w:val="104F75"/>
        </w:rPr>
        <w:t>Terrorism</w:t>
      </w:r>
      <w:r>
        <w:rPr>
          <w:b/>
          <w:color w:val="104F75"/>
          <w:vertAlign w:val="superscript"/>
        </w:rPr>
        <w:t>19</w:t>
      </w:r>
      <w: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23E4886C" w14:textId="77777777" w:rsidR="00A932C3" w:rsidRDefault="00324E68">
      <w:pPr>
        <w:spacing w:after="0" w:line="259" w:lineRule="auto"/>
        <w:ind w:left="1" w:firstLine="0"/>
      </w:pPr>
      <w:r>
        <w:t xml:space="preserve"> </w:t>
      </w:r>
    </w:p>
    <w:p w14:paraId="11526BE8" w14:textId="77777777" w:rsidR="00A932C3" w:rsidRDefault="00324E68">
      <w:pPr>
        <w:spacing w:after="9"/>
        <w:ind w:left="-4" w:right="10"/>
      </w:pPr>
      <w:r>
        <w:t xml:space="preserve">Although there is no single way of identifying whether a child is likely to be susceptible to radicalisation into terrorism, there are </w:t>
      </w:r>
      <w:hyperlink r:id="rId178">
        <w:r>
          <w:rPr>
            <w:color w:val="467886"/>
            <w:u w:val="single" w:color="467886"/>
          </w:rPr>
          <w:t>factors that may indicate concern</w:t>
        </w:r>
      </w:hyperlink>
      <w:hyperlink r:id="rId179">
        <w:r>
          <w:t>.</w:t>
        </w:r>
      </w:hyperlink>
      <w:r>
        <w:t xml:space="preserve">  </w:t>
      </w:r>
    </w:p>
    <w:p w14:paraId="22026080" w14:textId="77777777" w:rsidR="00A932C3" w:rsidRDefault="00324E68">
      <w:pPr>
        <w:spacing w:after="0" w:line="259" w:lineRule="auto"/>
        <w:ind w:left="1" w:firstLine="0"/>
      </w:pPr>
      <w:r>
        <w:t xml:space="preserve"> </w:t>
      </w:r>
    </w:p>
    <w:p w14:paraId="503CD156" w14:textId="77777777" w:rsidR="00A932C3" w:rsidRDefault="00324E68">
      <w:pPr>
        <w:ind w:left="-4" w:right="10"/>
      </w:pPr>
      <w:r>
        <w:t xml:space="preserve">It is possible to protect people from extremist ideology and intervene to prevent those at risk of radicalisation being drawn into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Id180">
        <w:r>
          <w:rPr>
            <w:color w:val="467886"/>
            <w:u w:val="single" w:color="467886"/>
          </w:rPr>
          <w:t>Making a Prevent</w:t>
        </w:r>
      </w:hyperlink>
      <w:hyperlink r:id="rId181">
        <w:r>
          <w:rPr>
            <w:color w:val="467886"/>
          </w:rPr>
          <w:t xml:space="preserve"> </w:t>
        </w:r>
      </w:hyperlink>
      <w:hyperlink r:id="rId182">
        <w:r>
          <w:rPr>
            <w:color w:val="467886"/>
            <w:u w:val="single" w:color="467886"/>
          </w:rPr>
          <w:t>referral</w:t>
        </w:r>
      </w:hyperlink>
      <w:hyperlink r:id="rId183">
        <w:r>
          <w:t>.</w:t>
        </w:r>
      </w:hyperlink>
      <w:r>
        <w:t xml:space="preserve">  </w:t>
      </w:r>
    </w:p>
    <w:p w14:paraId="4837AAFB" w14:textId="77777777" w:rsidR="00A932C3" w:rsidRDefault="00324E68">
      <w:pPr>
        <w:pStyle w:val="Heading3"/>
        <w:ind w:left="-4"/>
      </w:pPr>
      <w:r>
        <w:t xml:space="preserve">The Prevent duty  </w:t>
      </w:r>
    </w:p>
    <w:p w14:paraId="1AA737C0" w14:textId="77777777" w:rsidR="00A932C3" w:rsidRDefault="00324E68">
      <w:pPr>
        <w:spacing w:after="38"/>
        <w:ind w:left="-4" w:right="10"/>
      </w:pPr>
      <w:r>
        <w:t>All schools and colleges are subject to a duty under section 26 of the Counter- Terrorism and Security Act 2015, in the exercise of their functions, to have “due regard</w:t>
      </w:r>
      <w:r>
        <w:rPr>
          <w:vertAlign w:val="superscript"/>
        </w:rPr>
        <w:footnoteReference w:id="18"/>
      </w:r>
      <w:r>
        <w:t xml:space="preserve"> to the need to prevent people from becoming terrorists or supporting terrorism”.</w:t>
      </w:r>
      <w:r>
        <w:rPr>
          <w:vertAlign w:val="superscript"/>
        </w:rPr>
        <w:footnoteReference w:id="19"/>
      </w:r>
      <w:r>
        <w:t xml:space="preserve"> This duty is known as the Prevent duty.  </w:t>
      </w:r>
    </w:p>
    <w:p w14:paraId="1C128F0D" w14:textId="77777777" w:rsidR="00A932C3" w:rsidRDefault="00324E68">
      <w:pPr>
        <w:spacing w:after="0" w:line="259" w:lineRule="auto"/>
        <w:ind w:left="1" w:firstLine="0"/>
      </w:pPr>
      <w:r>
        <w:t xml:space="preserve"> </w:t>
      </w:r>
    </w:p>
    <w:p w14:paraId="0F06B872" w14:textId="77777777" w:rsidR="00A932C3" w:rsidRDefault="00324E68">
      <w:pPr>
        <w:spacing w:after="214"/>
        <w:ind w:left="-4" w:right="10"/>
      </w:pPr>
      <w:r>
        <w:t xml:space="preserve">The Prevent duty should be seen as part of schools’ and colleges’ wider safeguarding obligations. </w:t>
      </w:r>
    </w:p>
    <w:p w14:paraId="0FDEB546"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516E6F1C" wp14:editId="14A958A5">
                <wp:extent cx="1828800" cy="6858"/>
                <wp:effectExtent l="0" t="0" r="0" b="0"/>
                <wp:docPr id="52840" name="Group 52840"/>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800" name="Shape 57800"/>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2840" style="width:144pt;height:0.539978pt;mso-position-horizontal-relative:char;mso-position-vertical-relative:line" coordsize="18288,68">
                <v:shape id="Shape 57801"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6DDCF952" w14:textId="77777777" w:rsidR="00A932C3" w:rsidRDefault="00324E68">
      <w:pPr>
        <w:spacing w:after="159" w:line="259" w:lineRule="auto"/>
        <w:ind w:left="1" w:firstLine="0"/>
      </w:pPr>
      <w:r>
        <w:rPr>
          <w:sz w:val="20"/>
        </w:rPr>
        <w:t xml:space="preserve"> </w:t>
      </w:r>
    </w:p>
    <w:p w14:paraId="5155B626" w14:textId="77777777" w:rsidR="00A932C3" w:rsidRDefault="00324E68">
      <w:pPr>
        <w:spacing w:after="0" w:line="259" w:lineRule="auto"/>
        <w:ind w:left="1" w:firstLine="0"/>
      </w:pPr>
      <w:r>
        <w:rPr>
          <w:sz w:val="20"/>
        </w:rPr>
        <w:t xml:space="preserve"> </w:t>
      </w:r>
    </w:p>
    <w:p w14:paraId="6039B747" w14:textId="77777777" w:rsidR="00A932C3" w:rsidRDefault="00324E68">
      <w:pPr>
        <w:spacing w:after="9"/>
        <w:ind w:left="-4" w:right="10"/>
      </w:pPr>
      <w:r>
        <w:t xml:space="preserve">Designated safeguarding leads (and deputies) and other senior leaders in education settings should familiarise themselves with the revised </w:t>
      </w:r>
      <w:hyperlink r:id="rId184">
        <w:r>
          <w:rPr>
            <w:color w:val="467886"/>
            <w:u w:val="single" w:color="467886"/>
          </w:rPr>
          <w:t>Prevent duty guidance:</w:t>
        </w:r>
      </w:hyperlink>
      <w:hyperlink r:id="rId185">
        <w:r>
          <w:t xml:space="preserve"> </w:t>
        </w:r>
      </w:hyperlink>
      <w:hyperlink r:id="rId186">
        <w:r>
          <w:rPr>
            <w:color w:val="467886"/>
            <w:u w:val="single" w:color="467886"/>
          </w:rPr>
          <w:t>for England and Wales</w:t>
        </w:r>
      </w:hyperlink>
      <w:hyperlink r:id="rId187">
        <w:r>
          <w:t>,</w:t>
        </w:r>
      </w:hyperlink>
      <w: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21391914" w14:textId="77777777" w:rsidR="00A932C3" w:rsidRDefault="00324E68">
      <w:pPr>
        <w:spacing w:after="0" w:line="259" w:lineRule="auto"/>
        <w:ind w:left="1" w:firstLine="0"/>
      </w:pPr>
      <w:r>
        <w:t xml:space="preserve"> </w:t>
      </w:r>
    </w:p>
    <w:p w14:paraId="2683D887" w14:textId="77777777" w:rsidR="00A932C3" w:rsidRDefault="00324E68">
      <w:pPr>
        <w:ind w:left="-4" w:right="10"/>
      </w:pPr>
      <w:r>
        <w:t xml:space="preserve">The school or college’s designated safeguarding lead (and any deputies) should be aware of local procedures for making a Prevent referral.  </w:t>
      </w:r>
    </w:p>
    <w:p w14:paraId="2B1678BA" w14:textId="77777777" w:rsidR="00A932C3" w:rsidRDefault="00324E68">
      <w:pPr>
        <w:pStyle w:val="Heading3"/>
        <w:ind w:left="-4"/>
      </w:pPr>
      <w:r>
        <w:t xml:space="preserve">Channel  </w:t>
      </w:r>
    </w:p>
    <w:p w14:paraId="18224E91" w14:textId="77777777" w:rsidR="00A932C3" w:rsidRDefault="00324E68">
      <w:pPr>
        <w:ind w:left="-4" w:right="10"/>
      </w:pPr>
      <w:r>
        <w:t xml:space="preserve">Channel is a voluntary, confidential support programme which focuses on providing support at an early stage to people who are identified as being susceptible to being drawn into terrorism. Prevent referrals are first assessed by police and may be passed to a multi-agency Channel panel, which will discuss the individual referred to determine </w:t>
      </w:r>
    </w:p>
    <w:p w14:paraId="772CBFBA" w14:textId="77777777" w:rsidR="00A932C3" w:rsidRDefault="00324E68">
      <w:pPr>
        <w:ind w:left="-4" w:right="10"/>
      </w:pPr>
      <w:r>
        <w:t xml:space="preserve">whether they are at risk of being drawn into terrorism and consider the appropriate support required. Whilst the referral is being assessed, should any further or new information come to light, this should also be passed to police. A representative from the school or college may be asked to attend the Channel panel to help with this assessment. An individual will be required to provide their consent before any support delivered through the programme is provided.  </w:t>
      </w:r>
    </w:p>
    <w:p w14:paraId="0AC44579" w14:textId="77777777" w:rsidR="00A932C3" w:rsidRDefault="00324E68">
      <w:pPr>
        <w:ind w:left="-4" w:right="10"/>
      </w:pPr>
      <w:r>
        <w:t>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incidents that may indicate concerns about serious violence or harmful behaviours and/or details of those who are currently receiving support through the ‘Channel’ programme and have that support in place for when the child ar</w:t>
      </w:r>
      <w:r>
        <w:t xml:space="preserve">rives.  </w:t>
      </w:r>
    </w:p>
    <w:p w14:paraId="26A9F306" w14:textId="77777777" w:rsidR="00A932C3" w:rsidRDefault="00324E68">
      <w:pPr>
        <w:ind w:left="-4" w:right="10"/>
      </w:pPr>
      <w:r>
        <w:t xml:space="preserve">Statutory guidance on Channel is available at: </w:t>
      </w:r>
      <w:hyperlink r:id="rId188">
        <w:r>
          <w:rPr>
            <w:color w:val="467886"/>
            <w:u w:val="single" w:color="467886"/>
          </w:rPr>
          <w:t>Channel guidance</w:t>
        </w:r>
      </w:hyperlink>
      <w:hyperlink r:id="rId189">
        <w:r>
          <w:t xml:space="preserve"> </w:t>
        </w:r>
      </w:hyperlink>
      <w:r>
        <w:t xml:space="preserve">and </w:t>
      </w:r>
      <w:hyperlink r:id="rId190" w:anchor="channel-or-prevent-multi-agency-panel-pmap-course">
        <w:r>
          <w:rPr>
            <w:color w:val="467886"/>
            <w:u w:val="single" w:color="467886"/>
          </w:rPr>
          <w:t>Channel training</w:t>
        </w:r>
      </w:hyperlink>
      <w:hyperlink r:id="rId191" w:anchor="channel-or-prevent-multi-agency-panel-pmap-course">
        <w:r>
          <w:t xml:space="preserve"> </w:t>
        </w:r>
      </w:hyperlink>
      <w:hyperlink r:id="rId192" w:anchor="channel-or-prevent-multi-agency-panel-pmap-course">
        <w:r>
          <w:rPr>
            <w:color w:val="467886"/>
            <w:u w:val="single" w:color="467886"/>
          </w:rPr>
          <w:t>from the</w:t>
        </w:r>
      </w:hyperlink>
      <w:hyperlink r:id="rId193" w:anchor="channel-or-prevent-multi-agency-panel-pmap-course">
        <w:r>
          <w:rPr>
            <w:color w:val="467886"/>
          </w:rPr>
          <w:t xml:space="preserve"> </w:t>
        </w:r>
      </w:hyperlink>
      <w:hyperlink r:id="rId194" w:anchor="channel-or-prevent-multi-agency-panel-pmap-course">
        <w:r>
          <w:rPr>
            <w:color w:val="467886"/>
            <w:u w:val="single" w:color="467886"/>
          </w:rPr>
          <w:t>Home Office</w:t>
        </w:r>
      </w:hyperlink>
      <w:hyperlink r:id="rId195" w:anchor="channel-or-prevent-multi-agency-panel-pmap-course">
        <w:r>
          <w:t>.</w:t>
        </w:r>
      </w:hyperlink>
      <w:r>
        <w:t xml:space="preserve">  </w:t>
      </w:r>
    </w:p>
    <w:p w14:paraId="60DCEC45" w14:textId="77777777" w:rsidR="00A932C3" w:rsidRDefault="00324E68">
      <w:pPr>
        <w:pStyle w:val="Heading3"/>
        <w:ind w:left="-4"/>
      </w:pPr>
      <w:r>
        <w:t xml:space="preserve">Additional support  </w:t>
      </w:r>
    </w:p>
    <w:p w14:paraId="1660EAA9" w14:textId="77777777" w:rsidR="00A932C3" w:rsidRDefault="00324E68">
      <w:pPr>
        <w:spacing w:after="158" w:line="259" w:lineRule="auto"/>
        <w:ind w:left="-4"/>
      </w:pPr>
      <w:hyperlink r:id="rId196">
        <w:r>
          <w:rPr>
            <w:color w:val="467886"/>
            <w:u w:val="single" w:color="467886"/>
          </w:rPr>
          <w:t>The Department has published further advice for those working in education settings with</w:t>
        </w:r>
      </w:hyperlink>
      <w:hyperlink r:id="rId197">
        <w:r>
          <w:t xml:space="preserve"> </w:t>
        </w:r>
      </w:hyperlink>
      <w:hyperlink r:id="rId198">
        <w:r>
          <w:rPr>
            <w:color w:val="467886"/>
            <w:u w:val="single" w:color="467886"/>
          </w:rPr>
          <w:t>safeguarding responsibilities on the Prevent duty.</w:t>
        </w:r>
      </w:hyperlink>
      <w:hyperlink r:id="rId199">
        <w:r>
          <w:t xml:space="preserve"> </w:t>
        </w:r>
      </w:hyperlink>
      <w:r>
        <w:t xml:space="preserve">The advice is intended to complement the Prevent guidance and signposts to other sources of advice and support.  </w:t>
      </w:r>
    </w:p>
    <w:p w14:paraId="1F1715D6" w14:textId="77777777" w:rsidR="00A932C3" w:rsidRDefault="00324E68">
      <w:pPr>
        <w:ind w:left="-4" w:right="10"/>
      </w:pPr>
      <w:r>
        <w:t xml:space="preserve">The Home Office has developed three e-learning modules:  </w:t>
      </w:r>
    </w:p>
    <w:p w14:paraId="53AD6E4F" w14:textId="77777777" w:rsidR="00A932C3" w:rsidRDefault="00324E68">
      <w:pPr>
        <w:numPr>
          <w:ilvl w:val="0"/>
          <w:numId w:val="28"/>
        </w:numPr>
        <w:ind w:right="10" w:hanging="360"/>
      </w:pPr>
      <w:hyperlink r:id="rId200">
        <w:r>
          <w:rPr>
            <w:color w:val="467886"/>
            <w:u w:val="single" w:color="467886"/>
          </w:rPr>
          <w:t>Prevent awareness e-learning</w:t>
        </w:r>
      </w:hyperlink>
      <w:hyperlink r:id="rId201">
        <w:r>
          <w:t xml:space="preserve"> </w:t>
        </w:r>
      </w:hyperlink>
      <w:r>
        <w:t xml:space="preserve">offers an introduction to the Prevent duty.  </w:t>
      </w:r>
    </w:p>
    <w:p w14:paraId="3F6DB60C" w14:textId="77777777" w:rsidR="00A932C3" w:rsidRDefault="00324E68">
      <w:pPr>
        <w:numPr>
          <w:ilvl w:val="0"/>
          <w:numId w:val="28"/>
        </w:numPr>
        <w:ind w:right="10" w:hanging="360"/>
      </w:pPr>
      <w:hyperlink r:id="rId202">
        <w:r>
          <w:rPr>
            <w:color w:val="467886"/>
            <w:u w:val="single" w:color="467886"/>
          </w:rPr>
          <w:t>Prevent referrals e-learning</w:t>
        </w:r>
      </w:hyperlink>
      <w:hyperlink r:id="rId203">
        <w:r>
          <w:t xml:space="preserve"> </w:t>
        </w:r>
      </w:hyperlink>
      <w:r>
        <w:t xml:space="preserve">supports staff to make Prevent referrals that are </w:t>
      </w:r>
      <w:r>
        <w:rPr>
          <w:b/>
        </w:rPr>
        <w:t xml:space="preserve">robust, informed </w:t>
      </w:r>
      <w:r>
        <w:t xml:space="preserve">and with </w:t>
      </w:r>
      <w:r>
        <w:rPr>
          <w:b/>
        </w:rPr>
        <w:t>good intention</w:t>
      </w:r>
      <w:r>
        <w:t xml:space="preserve">.  </w:t>
      </w:r>
    </w:p>
    <w:p w14:paraId="6EEDD308" w14:textId="77777777" w:rsidR="00A932C3" w:rsidRDefault="00324E68">
      <w:pPr>
        <w:numPr>
          <w:ilvl w:val="0"/>
          <w:numId w:val="28"/>
        </w:numPr>
        <w:ind w:right="10" w:hanging="360"/>
      </w:pPr>
      <w:hyperlink r:id="rId204">
        <w:r>
          <w:rPr>
            <w:color w:val="467886"/>
            <w:u w:val="single" w:color="467886"/>
          </w:rPr>
          <w:t>Channel awareness e-learning</w:t>
        </w:r>
      </w:hyperlink>
      <w:hyperlink r:id="rId205">
        <w:r>
          <w:t xml:space="preserve"> </w:t>
        </w:r>
      </w:hyperlink>
      <w:r>
        <w:t xml:space="preserve">is aimed at staff who may be asked to contribute to or sit on a multi-agency Channel panel.  </w:t>
      </w:r>
    </w:p>
    <w:p w14:paraId="34C5D098" w14:textId="77777777" w:rsidR="00A932C3" w:rsidRDefault="00324E68">
      <w:pPr>
        <w:spacing w:after="9"/>
        <w:ind w:left="-4" w:right="10"/>
      </w:pPr>
      <w:hyperlink r:id="rId206">
        <w:r>
          <w:rPr>
            <w:color w:val="467886"/>
            <w:u w:val="single" w:color="467886"/>
          </w:rPr>
          <w:t>Educate Against Hate</w:t>
        </w:r>
      </w:hyperlink>
      <w:hyperlink r:id="rId207">
        <w:r>
          <w:t xml:space="preserve"> </w:t>
        </w:r>
      </w:hyperlink>
      <w:r>
        <w:t>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These resources are regularly updated to ensure they remain relevant and practical. Resources have been developed working closely with education professionals and civil society groups to identify and produce h</w:t>
      </w:r>
      <w:r>
        <w:t xml:space="preserve">igh-quality materials that assist teachers in building pupils’ critical thinking skills and resilience to extremist ideologies. </w:t>
      </w:r>
    </w:p>
    <w:p w14:paraId="23E02645" w14:textId="77777777" w:rsidR="00A932C3" w:rsidRDefault="00324E68">
      <w:pPr>
        <w:spacing w:after="1" w:line="259" w:lineRule="auto"/>
        <w:ind w:left="1" w:firstLine="0"/>
      </w:pPr>
      <w:r>
        <w:t xml:space="preserve"> </w:t>
      </w:r>
    </w:p>
    <w:p w14:paraId="6928F0BE" w14:textId="77777777" w:rsidR="00A932C3" w:rsidRDefault="00324E68">
      <w:pPr>
        <w:spacing w:after="9"/>
        <w:ind w:left="-4" w:right="10"/>
      </w:pPr>
      <w:r>
        <w:t xml:space="preserve">For advice specific to further education, Educate Against Hate hosts a suite of </w:t>
      </w:r>
      <w:hyperlink r:id="rId208">
        <w:r>
          <w:rPr>
            <w:color w:val="467886"/>
            <w:u w:val="single" w:color="467886"/>
          </w:rPr>
          <w:t>teaching</w:t>
        </w:r>
      </w:hyperlink>
      <w:hyperlink r:id="rId209">
        <w:r>
          <w:t xml:space="preserve"> </w:t>
        </w:r>
      </w:hyperlink>
      <w:hyperlink r:id="rId210">
        <w:r>
          <w:rPr>
            <w:color w:val="467886"/>
            <w:u w:val="single" w:color="467886"/>
          </w:rPr>
          <w:t>packs</w:t>
        </w:r>
      </w:hyperlink>
      <w:hyperlink r:id="rId211">
        <w:r>
          <w:t xml:space="preserve"> </w:t>
        </w:r>
      </w:hyperlink>
      <w:r>
        <w:t xml:space="preserve">and accompanying guidance to meet the specific needs of students and practitioners in further education and training settings. The Education and Training Foundation (ETF) hosts the </w:t>
      </w:r>
      <w:hyperlink r:id="rId212">
        <w:r>
          <w:rPr>
            <w:color w:val="467886"/>
            <w:u w:val="single" w:color="467886"/>
          </w:rPr>
          <w:t>Prevent for</w:t>
        </w:r>
      </w:hyperlink>
      <w:hyperlink r:id="rId213">
        <w:r>
          <w:rPr>
            <w:color w:val="467886"/>
          </w:rPr>
          <w:t xml:space="preserve"> </w:t>
        </w:r>
      </w:hyperlink>
      <w:hyperlink r:id="rId214">
        <w:r>
          <w:rPr>
            <w:color w:val="467886"/>
            <w:u w:val="single" w:color="467886"/>
          </w:rPr>
          <w:t>FE and Training</w:t>
        </w:r>
      </w:hyperlink>
      <w:hyperlink r:id="rId215">
        <w:r>
          <w:t>.</w:t>
        </w:r>
      </w:hyperlink>
      <w: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The Education and Training Foundation (ETF) provides </w:t>
      </w:r>
      <w:hyperlink r:id="rId216">
        <w:r>
          <w:rPr>
            <w:color w:val="467886"/>
            <w:u w:val="single" w:color="467886"/>
          </w:rPr>
          <w:t>online training modules</w:t>
        </w:r>
      </w:hyperlink>
      <w:hyperlink r:id="rId217">
        <w:r>
          <w:t xml:space="preserve"> </w:t>
        </w:r>
      </w:hyperlink>
      <w:r>
        <w:t xml:space="preserve">for practitioners, leaders and managers, to support staff and governors/Board members in outlining their roles and responsibilities under the duty.  </w:t>
      </w:r>
    </w:p>
    <w:p w14:paraId="62A89465" w14:textId="77777777" w:rsidR="00A932C3" w:rsidRDefault="00324E68">
      <w:pPr>
        <w:spacing w:after="0" w:line="259" w:lineRule="auto"/>
        <w:ind w:left="1" w:firstLine="0"/>
      </w:pPr>
      <w:r>
        <w:t xml:space="preserve"> </w:t>
      </w:r>
    </w:p>
    <w:p w14:paraId="7851CBB1" w14:textId="77777777" w:rsidR="00A932C3" w:rsidRDefault="00324E68">
      <w:pPr>
        <w:ind w:left="-4" w:right="10"/>
      </w:pPr>
      <w:r>
        <w:t>London Grid for Learning has also produced useful resources on Prevent (</w:t>
      </w:r>
      <w:hyperlink r:id="rId218">
        <w:r>
          <w:rPr>
            <w:color w:val="467886"/>
            <w:u w:val="single" w:color="467886"/>
          </w:rPr>
          <w:t>Online Safety</w:t>
        </w:r>
      </w:hyperlink>
      <w:hyperlink r:id="rId219">
        <w:r>
          <w:t xml:space="preserve"> </w:t>
        </w:r>
      </w:hyperlink>
      <w:hyperlink r:id="rId220">
        <w:r>
          <w:rPr>
            <w:color w:val="467886"/>
            <w:u w:val="single" w:color="467886"/>
          </w:rPr>
          <w:t>Resource</w:t>
        </w:r>
      </w:hyperlink>
      <w:hyperlink r:id="rId221">
        <w:r>
          <w:rPr>
            <w:color w:val="467886"/>
          </w:rPr>
          <w:t xml:space="preserve"> </w:t>
        </w:r>
      </w:hyperlink>
      <w:hyperlink r:id="rId222">
        <w:r>
          <w:rPr>
            <w:color w:val="467886"/>
            <w:u w:val="single" w:color="467886"/>
          </w:rPr>
          <w:t>Centre - London Grid for Learning (lgfl.net)</w:t>
        </w:r>
      </w:hyperlink>
      <w:hyperlink r:id="rId223">
        <w:r>
          <w:rPr>
            <w:u w:val="single" w:color="467886"/>
          </w:rPr>
          <w:t>.</w:t>
        </w:r>
      </w:hyperlink>
      <w:r>
        <w:t xml:space="preserve">  </w:t>
      </w:r>
    </w:p>
    <w:p w14:paraId="75003FCE" w14:textId="77777777" w:rsidR="00A932C3" w:rsidRDefault="00324E68">
      <w:pPr>
        <w:spacing w:after="198" w:line="259" w:lineRule="auto"/>
        <w:ind w:left="1" w:firstLine="0"/>
      </w:pPr>
      <w:r>
        <w:t xml:space="preserve">  </w:t>
      </w:r>
    </w:p>
    <w:p w14:paraId="259CC171" w14:textId="77777777" w:rsidR="00A932C3" w:rsidRDefault="00324E68">
      <w:pPr>
        <w:pStyle w:val="Heading1"/>
        <w:spacing w:after="43"/>
        <w:ind w:left="-4"/>
      </w:pPr>
      <w:bookmarkStart w:id="10" w:name="_Toc57468"/>
      <w:r>
        <w:t xml:space="preserve">Serious violence  </w:t>
      </w:r>
      <w:bookmarkEnd w:id="10"/>
    </w:p>
    <w:p w14:paraId="09B5CC6B" w14:textId="77777777" w:rsidR="00A932C3" w:rsidRDefault="00324E68">
      <w:pPr>
        <w:ind w:left="-4" w:right="10"/>
      </w:pPr>
      <w:r>
        <w:t xml:space="preserve">There are a number of indicators, which may signal children are at risk from, or are involved in committing serious violence. These may include:  </w:t>
      </w:r>
    </w:p>
    <w:p w14:paraId="1E6FD979" w14:textId="77777777" w:rsidR="00A932C3" w:rsidRDefault="00324E68">
      <w:pPr>
        <w:numPr>
          <w:ilvl w:val="0"/>
          <w:numId w:val="29"/>
        </w:numPr>
        <w:ind w:right="10" w:hanging="360"/>
      </w:pPr>
      <w:r>
        <w:t xml:space="preserve">increased absence from school or college,  </w:t>
      </w:r>
    </w:p>
    <w:p w14:paraId="43F6BE10" w14:textId="77777777" w:rsidR="00A932C3" w:rsidRDefault="00324E68">
      <w:pPr>
        <w:numPr>
          <w:ilvl w:val="0"/>
          <w:numId w:val="29"/>
        </w:numPr>
        <w:ind w:right="10" w:hanging="360"/>
      </w:pPr>
      <w:r>
        <w:t xml:space="preserve">a change in friendships or relationships with older individuals or groups,  </w:t>
      </w:r>
    </w:p>
    <w:p w14:paraId="6BE6541C" w14:textId="77777777" w:rsidR="00A932C3" w:rsidRDefault="00324E68">
      <w:pPr>
        <w:numPr>
          <w:ilvl w:val="0"/>
          <w:numId w:val="29"/>
        </w:numPr>
        <w:ind w:right="10" w:hanging="360"/>
      </w:pPr>
      <w:r>
        <w:t xml:space="preserve">a significant decline in educational performance,  </w:t>
      </w:r>
    </w:p>
    <w:p w14:paraId="7E35B060" w14:textId="77777777" w:rsidR="00A932C3" w:rsidRDefault="00324E68">
      <w:pPr>
        <w:numPr>
          <w:ilvl w:val="0"/>
          <w:numId w:val="29"/>
        </w:numPr>
        <w:ind w:right="10" w:hanging="360"/>
      </w:pPr>
      <w:r>
        <w:t xml:space="preserve">signs of self-harm or a significant change in wellbeing, or signs of assault or unexplained injuries, and  </w:t>
      </w:r>
    </w:p>
    <w:p w14:paraId="6CBC5CF7" w14:textId="77777777" w:rsidR="00A932C3" w:rsidRDefault="00324E68">
      <w:pPr>
        <w:numPr>
          <w:ilvl w:val="0"/>
          <w:numId w:val="29"/>
        </w:numPr>
        <w:ind w:right="10" w:hanging="360"/>
      </w:pPr>
      <w:r>
        <w:t xml:space="preserve">unexplained gifts or new possessions could also indicate that children have been approached by, or are involved with, individuals associated with criminal networks or gangs and may be at risk of criminal exploitation.  </w:t>
      </w:r>
    </w:p>
    <w:p w14:paraId="114766F2" w14:textId="77777777" w:rsidR="00A932C3" w:rsidRDefault="00324E68">
      <w:pPr>
        <w:ind w:left="-4" w:right="10"/>
      </w:pPr>
      <w:r>
        <w:t xml:space="preserve"> The likelihood of involvement in serious violence may be increased by factors such as:  </w:t>
      </w:r>
    </w:p>
    <w:p w14:paraId="7B450516" w14:textId="77777777" w:rsidR="00A932C3" w:rsidRDefault="00324E68">
      <w:pPr>
        <w:numPr>
          <w:ilvl w:val="0"/>
          <w:numId w:val="29"/>
        </w:numPr>
        <w:ind w:right="10" w:hanging="360"/>
      </w:pPr>
      <w:r>
        <w:t xml:space="preserve">being male,  </w:t>
      </w:r>
    </w:p>
    <w:p w14:paraId="21E11F85" w14:textId="77777777" w:rsidR="00A932C3" w:rsidRDefault="00324E68">
      <w:pPr>
        <w:numPr>
          <w:ilvl w:val="0"/>
          <w:numId w:val="29"/>
        </w:numPr>
        <w:ind w:right="10" w:hanging="360"/>
      </w:pPr>
      <w:r>
        <w:t xml:space="preserve">having been suspended, spent time in Alternative Provision or permanently excluded from school,  </w:t>
      </w:r>
    </w:p>
    <w:p w14:paraId="5482F4FA" w14:textId="77777777" w:rsidR="00A932C3" w:rsidRDefault="00324E68">
      <w:pPr>
        <w:numPr>
          <w:ilvl w:val="0"/>
          <w:numId w:val="29"/>
        </w:numPr>
        <w:ind w:right="10" w:hanging="360"/>
      </w:pPr>
      <w:r>
        <w:t xml:space="preserve">having experienced child maltreatment,  </w:t>
      </w:r>
    </w:p>
    <w:p w14:paraId="3EFCF57C" w14:textId="77777777" w:rsidR="00A932C3" w:rsidRDefault="00324E68">
      <w:pPr>
        <w:numPr>
          <w:ilvl w:val="0"/>
          <w:numId w:val="29"/>
        </w:numPr>
        <w:ind w:right="10" w:hanging="360"/>
      </w:pPr>
      <w:r>
        <w:t xml:space="preserve">having been involved in offending, such as theft or robbery,  </w:t>
      </w:r>
    </w:p>
    <w:p w14:paraId="096267A6" w14:textId="77777777" w:rsidR="00A932C3" w:rsidRDefault="00324E68">
      <w:pPr>
        <w:numPr>
          <w:ilvl w:val="0"/>
          <w:numId w:val="29"/>
        </w:numPr>
        <w:ind w:right="10" w:hanging="360"/>
      </w:pPr>
      <w:r>
        <w:t xml:space="preserve">having used drugs or alcohol in early adolescence, and  </w:t>
      </w:r>
    </w:p>
    <w:p w14:paraId="1F2EF75D" w14:textId="77777777" w:rsidR="00A932C3" w:rsidRDefault="00324E68">
      <w:pPr>
        <w:numPr>
          <w:ilvl w:val="0"/>
          <w:numId w:val="29"/>
        </w:numPr>
        <w:ind w:right="10" w:hanging="360"/>
      </w:pPr>
      <w:r>
        <w:t xml:space="preserve">having previously been a victim or previously perpetrated violence  </w:t>
      </w:r>
    </w:p>
    <w:p w14:paraId="67D47D21" w14:textId="77777777" w:rsidR="00A932C3" w:rsidRDefault="00324E68">
      <w:pPr>
        <w:ind w:left="-4" w:right="10"/>
      </w:pPr>
      <w:r>
        <w:t xml:space="preserve">A fuller list of risk factors can be found in the Home Office’s </w:t>
      </w:r>
      <w:hyperlink r:id="rId224">
        <w:r>
          <w:rPr>
            <w:color w:val="467886"/>
            <w:u w:val="single" w:color="467886"/>
          </w:rPr>
          <w:t>Serious Violence Strategy</w:t>
        </w:r>
      </w:hyperlink>
      <w:hyperlink r:id="rId225">
        <w:r>
          <w:t>.</w:t>
        </w:r>
      </w:hyperlink>
      <w:r>
        <w:t xml:space="preserve">  </w:t>
      </w:r>
    </w:p>
    <w:p w14:paraId="5DD14CBA" w14:textId="77777777" w:rsidR="00A932C3" w:rsidRDefault="00324E68">
      <w:pPr>
        <w:spacing w:after="9"/>
        <w:ind w:left="-4" w:right="10"/>
      </w:pPr>
      <w:r>
        <w:t>Professionals should also be aware that violence can often peak in the hours just before or just after school, when pupils are travelling to and from school and can concentrate in particular places. These times can be particularly risky for young people involved in serious violence. It is important that schools and colleges try to understand where these places are, with a view to working with partners to promote safety for children. Listening to children and consulting with staff can help establish when and</w:t>
      </w:r>
      <w:r>
        <w:t xml:space="preserve"> where they feel unsafe. Working with wider partners can also help build understanding of the local context beyond the school or college and help co-ordinate a collective safeguarding response around the school day.  </w:t>
      </w:r>
    </w:p>
    <w:p w14:paraId="4179716F" w14:textId="77777777" w:rsidR="00A932C3" w:rsidRDefault="00324E68">
      <w:pPr>
        <w:spacing w:after="1" w:line="259" w:lineRule="auto"/>
        <w:ind w:left="1" w:firstLine="0"/>
      </w:pPr>
      <w:r>
        <w:t xml:space="preserve"> </w:t>
      </w:r>
    </w:p>
    <w:p w14:paraId="6B017E72" w14:textId="77777777" w:rsidR="00A932C3" w:rsidRDefault="00324E68">
      <w:pPr>
        <w:spacing w:after="9"/>
        <w:ind w:left="-4" w:right="10"/>
      </w:pPr>
      <w:r>
        <w:t xml:space="preserve">Advice for schools and colleges is provided in the Home Office’s </w:t>
      </w:r>
      <w:hyperlink r:id="rId226">
        <w:r>
          <w:rPr>
            <w:color w:val="467886"/>
            <w:u w:val="single" w:color="467886"/>
          </w:rPr>
          <w:t>Criminal exploitation of</w:t>
        </w:r>
      </w:hyperlink>
      <w:hyperlink r:id="rId227">
        <w:r>
          <w:t xml:space="preserve"> </w:t>
        </w:r>
      </w:hyperlink>
      <w:hyperlink r:id="rId228">
        <w:r>
          <w:rPr>
            <w:color w:val="467886"/>
            <w:u w:val="single" w:color="467886"/>
          </w:rPr>
          <w:t>children</w:t>
        </w:r>
      </w:hyperlink>
      <w:hyperlink r:id="rId229">
        <w:r>
          <w:rPr>
            <w:color w:val="467886"/>
          </w:rPr>
          <w:t xml:space="preserve"> </w:t>
        </w:r>
      </w:hyperlink>
      <w:hyperlink r:id="rId230">
        <w:r>
          <w:rPr>
            <w:color w:val="467886"/>
            <w:u w:val="single" w:color="467886"/>
          </w:rPr>
          <w:t>and vulnerable adults: county lines</w:t>
        </w:r>
      </w:hyperlink>
      <w:hyperlink r:id="rId231">
        <w:r>
          <w:t xml:space="preserve"> </w:t>
        </w:r>
      </w:hyperlink>
      <w:r>
        <w:t xml:space="preserve">guidance. The Youth Endowment Fund (YEF) (the “what works” centre for preventing violence) has produced </w:t>
      </w:r>
      <w:hyperlink r:id="rId232">
        <w:r>
          <w:rPr>
            <w:color w:val="467886"/>
            <w:u w:val="single" w:color="467886"/>
          </w:rPr>
          <w:t>practical guidance</w:t>
        </w:r>
      </w:hyperlink>
      <w:hyperlink r:id="rId233">
        <w:r>
          <w:t xml:space="preserve"> </w:t>
        </w:r>
      </w:hyperlink>
      <w:r>
        <w:t xml:space="preserve">for schools and colleges and an accompanying </w:t>
      </w:r>
      <w:hyperlink r:id="rId234">
        <w:r>
          <w:rPr>
            <w:color w:val="467886"/>
            <w:u w:val="single" w:color="467886"/>
          </w:rPr>
          <w:t>self-assessment tool</w:t>
        </w:r>
      </w:hyperlink>
      <w:hyperlink r:id="rId235">
        <w:r>
          <w:t xml:space="preserve"> </w:t>
        </w:r>
      </w:hyperlink>
      <w:r>
        <w:t xml:space="preserve">to help introduce evidenced practice for preventing children becoming involved in violence.  </w:t>
      </w:r>
    </w:p>
    <w:p w14:paraId="335CD46D" w14:textId="77777777" w:rsidR="00A932C3" w:rsidRDefault="00324E68">
      <w:pPr>
        <w:spacing w:after="1" w:line="259" w:lineRule="auto"/>
        <w:ind w:left="1" w:firstLine="0"/>
      </w:pPr>
      <w:r>
        <w:t xml:space="preserve"> </w:t>
      </w:r>
    </w:p>
    <w:p w14:paraId="0B4E1A90" w14:textId="77777777" w:rsidR="00A932C3" w:rsidRDefault="00324E68">
      <w:pPr>
        <w:spacing w:after="9"/>
        <w:ind w:left="-4" w:right="10"/>
      </w:pPr>
      <w: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236">
        <w:r>
          <w:rPr>
            <w:color w:val="467886"/>
            <w:u w:val="single" w:color="467886"/>
          </w:rPr>
          <w:t>here</w:t>
        </w:r>
      </w:hyperlink>
      <w:hyperlink r:id="rId237">
        <w:r>
          <w:t>.</w:t>
        </w:r>
      </w:hyperlink>
      <w: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joined-up approach to y</w:t>
      </w:r>
      <w:r>
        <w:t xml:space="preserve">oung people across the risk spectrum.  </w:t>
      </w:r>
    </w:p>
    <w:p w14:paraId="4E5DCC4C" w14:textId="77777777" w:rsidR="00A932C3" w:rsidRDefault="00324E68">
      <w:pPr>
        <w:spacing w:after="1" w:line="259" w:lineRule="auto"/>
        <w:ind w:left="1" w:firstLine="0"/>
      </w:pPr>
      <w:r>
        <w:t xml:space="preserve"> </w:t>
      </w:r>
    </w:p>
    <w:p w14:paraId="7F734C1C" w14:textId="77777777" w:rsidR="00A932C3" w:rsidRDefault="00324E68">
      <w:pPr>
        <w:spacing w:after="9"/>
        <w:ind w:left="-4" w:right="10"/>
      </w:pPr>
      <w:hyperlink r:id="rId238">
        <w:r>
          <w:rPr>
            <w:color w:val="467886"/>
            <w:u w:val="single" w:color="467886"/>
          </w:rPr>
          <w:t>Police, Crime, Sentencing and Courts Act 2022</w:t>
        </w:r>
      </w:hyperlink>
      <w:hyperlink r:id="rId239">
        <w:r>
          <w:t xml:space="preserve"> </w:t>
        </w:r>
      </w:hyperlink>
      <w:r>
        <w:t xml:space="preserve">introduced a new </w:t>
      </w:r>
      <w:hyperlink r:id="rId240">
        <w:r>
          <w:rPr>
            <w:color w:val="467886"/>
            <w:u w:val="single" w:color="467886"/>
          </w:rPr>
          <w:t>Serious Violence Duty</w:t>
        </w:r>
      </w:hyperlink>
      <w:hyperlink r:id="rId241">
        <w:r>
          <w:t xml:space="preserve"> </w:t>
        </w:r>
      </w:hyperlink>
      <w:hyperlink r:id="rId242">
        <w:r>
          <w:rPr>
            <w:color w:val="467886"/>
            <w:u w:val="single" w:color="467886"/>
          </w:rPr>
          <w:t>(Statutory</w:t>
        </w:r>
      </w:hyperlink>
      <w:hyperlink r:id="rId243">
        <w:r>
          <w:rPr>
            <w:color w:val="467886"/>
          </w:rPr>
          <w:t xml:space="preserve"> </w:t>
        </w:r>
      </w:hyperlink>
      <w:hyperlink r:id="rId244">
        <w:r>
          <w:rPr>
            <w:color w:val="467886"/>
            <w:u w:val="single" w:color="467886"/>
          </w:rPr>
          <w:t>Guidance</w:t>
        </w:r>
      </w:hyperlink>
      <w:hyperlink r:id="rId245">
        <w:r>
          <w:t>)</w:t>
        </w:r>
      </w:hyperlink>
      <w:r>
        <w:t xml:space="preserve">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are under a separate duty to co-operate with core duty holders when asked, and there is a requirement for the partnership to consult with all such institutions in their area</w:t>
      </w:r>
      <w:r>
        <w:t xml:space="preserve">.  </w:t>
      </w:r>
    </w:p>
    <w:p w14:paraId="053BB979" w14:textId="77777777" w:rsidR="00A932C3" w:rsidRDefault="00324E68">
      <w:pPr>
        <w:spacing w:after="0" w:line="259" w:lineRule="auto"/>
        <w:ind w:left="1" w:firstLine="0"/>
      </w:pPr>
      <w:r>
        <w:t xml:space="preserve"> </w:t>
      </w:r>
    </w:p>
    <w:p w14:paraId="5F470EA1" w14:textId="77777777" w:rsidR="00A932C3" w:rsidRDefault="00324E68">
      <w:pPr>
        <w:spacing w:after="9"/>
        <w:ind w:left="-4" w:right="10"/>
      </w:pPr>
      <w:r>
        <w:t xml:space="preserve">The Duty </w:t>
      </w:r>
      <w:r>
        <w:rPr>
          <w:b/>
        </w:rPr>
        <w:t xml:space="preserve">does not </w:t>
      </w:r>
      <w:r>
        <w:t xml:space="preserve">replace or duplicate existing safeguarding duties.  </w:t>
      </w:r>
    </w:p>
    <w:p w14:paraId="44090EC1" w14:textId="77777777" w:rsidR="00A932C3" w:rsidRDefault="00324E68">
      <w:pPr>
        <w:spacing w:after="199" w:line="259" w:lineRule="auto"/>
        <w:ind w:left="1" w:firstLine="0"/>
      </w:pPr>
      <w:r>
        <w:t xml:space="preserve"> </w:t>
      </w:r>
    </w:p>
    <w:p w14:paraId="2A87DAE8" w14:textId="77777777" w:rsidR="00A932C3" w:rsidRDefault="00324E68">
      <w:pPr>
        <w:pStyle w:val="Heading1"/>
        <w:spacing w:after="45"/>
        <w:ind w:left="-4"/>
      </w:pPr>
      <w:bookmarkStart w:id="11" w:name="_Toc57469"/>
      <w:r>
        <w:t xml:space="preserve">Honour or faith-based abuse (including female genital mutilation and forced marriage)  </w:t>
      </w:r>
      <w:bookmarkEnd w:id="11"/>
    </w:p>
    <w:p w14:paraId="38E5B320" w14:textId="77777777" w:rsidR="00A932C3" w:rsidRDefault="00324E68">
      <w:pPr>
        <w:ind w:left="-4" w:right="10"/>
      </w:pPr>
      <w:r>
        <w:t xml:space="preserve">Honour or faith-based abuse (HBA) encompasses incidents or crimes which have been committed to protect or defend the honour of the family and/or the community, including female genital mutilation (FGM), forced marriage, and practices such as breast ironing.  </w:t>
      </w:r>
    </w:p>
    <w:p w14:paraId="5F1598FB" w14:textId="77777777" w:rsidR="00A932C3" w:rsidRDefault="00324E68">
      <w:pPr>
        <w:ind w:left="-4" w:right="10"/>
      </w:pPr>
      <w: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w:t>
      </w:r>
      <w:r>
        <w:t xml:space="preserve">ld being at risk of HBA, or already having suffered HBA.  </w:t>
      </w:r>
    </w:p>
    <w:p w14:paraId="5A9AC487" w14:textId="77777777" w:rsidR="00A932C3" w:rsidRDefault="00324E68">
      <w:pPr>
        <w:pStyle w:val="Heading3"/>
        <w:ind w:left="-4"/>
      </w:pPr>
      <w:r>
        <w:t xml:space="preserve">Actions  </w:t>
      </w:r>
    </w:p>
    <w:p w14:paraId="7E7245BB" w14:textId="77777777" w:rsidR="00A932C3" w:rsidRDefault="00324E68">
      <w:pPr>
        <w:spacing w:after="187"/>
        <w:ind w:left="-4" w:right="10"/>
      </w:pPr>
      <w: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Pr>
          <w:b/>
        </w:rPr>
        <w:t>teachers</w:t>
      </w:r>
      <w:r>
        <w:rPr>
          <w:b/>
          <w:vertAlign w:val="superscript"/>
        </w:rPr>
        <w:footnoteReference w:id="20"/>
      </w:r>
      <w:r>
        <w:rPr>
          <w:b/>
        </w:rPr>
        <w:t xml:space="preserve"> </w:t>
      </w:r>
      <w:r>
        <w:t xml:space="preserve">that requires a different approach (see below).  </w:t>
      </w:r>
    </w:p>
    <w:p w14:paraId="00EA1D36" w14:textId="77777777" w:rsidR="00A932C3" w:rsidRDefault="00324E68">
      <w:pPr>
        <w:spacing w:after="9"/>
        <w:ind w:left="-4" w:right="10"/>
      </w:pPr>
      <w:r>
        <w:t xml:space="preserve">FGM comprises all procedures involving partial or total removal of the external female genitalia or other injury to the female genital organs. It is illegal in the UK and a form of child abuse with longlasting harmful consequences.  </w:t>
      </w:r>
    </w:p>
    <w:p w14:paraId="306F40EA" w14:textId="77777777" w:rsidR="00A932C3" w:rsidRDefault="00324E68">
      <w:pPr>
        <w:spacing w:after="160" w:line="259" w:lineRule="auto"/>
        <w:ind w:left="1" w:firstLine="0"/>
      </w:pPr>
      <w:r>
        <w:t xml:space="preserve"> </w:t>
      </w:r>
    </w:p>
    <w:p w14:paraId="371A0F80" w14:textId="77777777" w:rsidR="00A932C3" w:rsidRDefault="00324E68">
      <w:pPr>
        <w:pStyle w:val="Heading3"/>
        <w:ind w:left="-4"/>
      </w:pPr>
      <w:r>
        <w:t xml:space="preserve">FGM mandatory reporting duty for teachers  </w:t>
      </w:r>
    </w:p>
    <w:p w14:paraId="7DD17335" w14:textId="77777777" w:rsidR="00A932C3" w:rsidRDefault="00324E68">
      <w:pPr>
        <w:spacing w:after="9"/>
        <w:ind w:left="-4" w:right="10"/>
      </w:pPr>
      <w:r>
        <w:t xml:space="preserve">Section 5B of the Female Genital Mutilation Act 2003 (as inserted by section 74 of the Serious Crime Act 2015) places a statutory duty upon </w:t>
      </w:r>
      <w:r>
        <w:rPr>
          <w:b/>
        </w:rPr>
        <w:t>teachers</w:t>
      </w:r>
      <w: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Pr>
          <w:b/>
        </w:rPr>
        <w:t xml:space="preserve">not </w:t>
      </w:r>
      <w:r>
        <w:t>be examining pupils or students, but the same definition of what is meant by “to discover that an act of FGM appea</w:t>
      </w:r>
      <w:r>
        <w:t xml:space="preserve">rs to have been carried out” is used for all professionals to whom this mandatory reporting duty applies. Information on when and how to make a report can be found at: </w:t>
      </w:r>
      <w:hyperlink r:id="rId246">
        <w:r>
          <w:rPr>
            <w:color w:val="467886"/>
            <w:u w:val="single" w:color="467886"/>
          </w:rPr>
          <w:t>Mandatory reporting of female genital mutilation</w:t>
        </w:r>
      </w:hyperlink>
      <w:hyperlink r:id="rId247">
        <w:r>
          <w:t xml:space="preserve"> </w:t>
        </w:r>
      </w:hyperlink>
      <w:hyperlink r:id="rId248">
        <w:r>
          <w:rPr>
            <w:color w:val="467886"/>
            <w:u w:val="single" w:color="467886"/>
          </w:rPr>
          <w:t>procedural</w:t>
        </w:r>
      </w:hyperlink>
      <w:hyperlink r:id="rId249">
        <w:r>
          <w:rPr>
            <w:color w:val="467886"/>
          </w:rPr>
          <w:t xml:space="preserve"> </w:t>
        </w:r>
      </w:hyperlink>
      <w:hyperlink r:id="rId250">
        <w:r>
          <w:rPr>
            <w:color w:val="467886"/>
            <w:u w:val="single" w:color="467886"/>
          </w:rPr>
          <w:t>information</w:t>
        </w:r>
      </w:hyperlink>
      <w:hyperlink r:id="rId251">
        <w:r>
          <w:rPr>
            <w:color w:val="467886"/>
            <w:u w:val="single" w:color="467886"/>
          </w:rPr>
          <w:t>.</w:t>
        </w:r>
      </w:hyperlink>
      <w:hyperlink r:id="rId252">
        <w:r>
          <w:t xml:space="preserve"> </w:t>
        </w:r>
      </w:hyperlink>
      <w:r>
        <w:t xml:space="preserve"> </w:t>
      </w:r>
    </w:p>
    <w:p w14:paraId="673DA858" w14:textId="77777777" w:rsidR="00A932C3" w:rsidRDefault="00324E68">
      <w:pPr>
        <w:spacing w:after="0" w:line="259" w:lineRule="auto"/>
        <w:ind w:left="1" w:firstLine="0"/>
      </w:pPr>
      <w:r>
        <w:t xml:space="preserve"> </w:t>
      </w:r>
    </w:p>
    <w:p w14:paraId="43702DFB" w14:textId="77777777" w:rsidR="00A932C3" w:rsidRDefault="00324E68">
      <w:pPr>
        <w:ind w:left="-4" w:right="10"/>
      </w:pPr>
      <w:r>
        <w:t xml:space="preserve">Teachers </w:t>
      </w:r>
      <w:r>
        <w:rPr>
          <w:b/>
        </w:rPr>
        <w:t xml:space="preserve">must </w:t>
      </w:r>
      <w:r>
        <w:t>personally report to the police cases where they discover that an act of FGM appears to have been carried out.</w:t>
      </w:r>
      <w:r>
        <w:rPr>
          <w:vertAlign w:val="superscript"/>
        </w:rPr>
        <w:footnoteReference w:id="21"/>
      </w:r>
      <w: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w:t>
      </w:r>
      <w:r>
        <w:t xml:space="preserve">es, teachers should follow local safeguarding procedures. The following is a useful summary of the FGM mandatory reporting duty: </w:t>
      </w:r>
      <w:hyperlink r:id="rId253">
        <w:r>
          <w:rPr>
            <w:color w:val="467886"/>
            <w:u w:val="single" w:color="467886"/>
          </w:rPr>
          <w:t>FGM Fact</w:t>
        </w:r>
      </w:hyperlink>
      <w:hyperlink r:id="rId254">
        <w:r>
          <w:rPr>
            <w:color w:val="467886"/>
          </w:rPr>
          <w:t xml:space="preserve"> </w:t>
        </w:r>
      </w:hyperlink>
      <w:hyperlink r:id="rId255">
        <w:r>
          <w:rPr>
            <w:color w:val="467886"/>
            <w:u w:val="single" w:color="467886"/>
          </w:rPr>
          <w:t>Sheet</w:t>
        </w:r>
      </w:hyperlink>
      <w:hyperlink r:id="rId256">
        <w:r>
          <w:rPr>
            <w:color w:val="467886"/>
            <w:u w:val="single" w:color="467886"/>
          </w:rPr>
          <w:t>.</w:t>
        </w:r>
      </w:hyperlink>
      <w:hyperlink r:id="rId257">
        <w:r>
          <w:t xml:space="preserve"> </w:t>
        </w:r>
      </w:hyperlink>
      <w:r>
        <w:t xml:space="preserve"> </w:t>
      </w:r>
    </w:p>
    <w:p w14:paraId="41A0D33F" w14:textId="77777777" w:rsidR="00A932C3" w:rsidRDefault="00324E68">
      <w:pPr>
        <w:spacing w:after="424" w:line="259" w:lineRule="auto"/>
        <w:ind w:left="-4"/>
      </w:pPr>
      <w:r>
        <w:t xml:space="preserve">Further information can be found in the </w:t>
      </w:r>
      <w:hyperlink r:id="rId258">
        <w:r>
          <w:rPr>
            <w:color w:val="467886"/>
            <w:u w:val="single" w:color="467886"/>
          </w:rPr>
          <w:t>Multi-agency statutory guidance on female genital</w:t>
        </w:r>
      </w:hyperlink>
      <w:hyperlink r:id="rId259">
        <w:r>
          <w:t xml:space="preserve"> </w:t>
        </w:r>
      </w:hyperlink>
      <w:hyperlink r:id="rId260">
        <w:r>
          <w:rPr>
            <w:color w:val="467886"/>
            <w:u w:val="single" w:color="467886"/>
          </w:rPr>
          <w:t>mutilation</w:t>
        </w:r>
      </w:hyperlink>
      <w:hyperlink r:id="rId261">
        <w:r>
          <w:t xml:space="preserve"> </w:t>
        </w:r>
      </w:hyperlink>
      <w:r>
        <w:t xml:space="preserve">and the </w:t>
      </w:r>
      <w:hyperlink r:id="rId262">
        <w:r>
          <w:rPr>
            <w:color w:val="467886"/>
            <w:u w:val="single" w:color="467886"/>
          </w:rPr>
          <w:t>FGM resource pack</w:t>
        </w:r>
      </w:hyperlink>
      <w:hyperlink r:id="rId263">
        <w:r>
          <w:t xml:space="preserve"> </w:t>
        </w:r>
      </w:hyperlink>
      <w:r>
        <w:t xml:space="preserve">particularly section 13.  </w:t>
      </w:r>
    </w:p>
    <w:p w14:paraId="51D4E24A" w14:textId="77777777" w:rsidR="00A932C3" w:rsidRDefault="00324E68">
      <w:pPr>
        <w:spacing w:after="0" w:line="259" w:lineRule="auto"/>
        <w:ind w:left="1" w:firstLine="0"/>
      </w:pPr>
      <w:r>
        <w:rPr>
          <w:rFonts w:ascii="Calibri" w:eastAsia="Calibri" w:hAnsi="Calibri" w:cs="Calibri"/>
          <w:noProof/>
          <w:sz w:val="22"/>
        </w:rPr>
        <mc:AlternateContent>
          <mc:Choice Requires="wpg">
            <w:drawing>
              <wp:inline distT="0" distB="0" distL="0" distR="0" wp14:anchorId="3FBA72C1" wp14:editId="6ED13485">
                <wp:extent cx="1828800" cy="6858"/>
                <wp:effectExtent l="0" t="0" r="0" b="0"/>
                <wp:docPr id="54874" name="Group 54874"/>
                <wp:cNvGraphicFramePr/>
                <a:graphic xmlns:a="http://schemas.openxmlformats.org/drawingml/2006/main">
                  <a:graphicData uri="http://schemas.microsoft.com/office/word/2010/wordprocessingGroup">
                    <wpg:wgp>
                      <wpg:cNvGrpSpPr/>
                      <wpg:grpSpPr>
                        <a:xfrm>
                          <a:off x="0" y="0"/>
                          <a:ext cx="1828800" cy="6858"/>
                          <a:chOff x="0" y="0"/>
                          <a:chExt cx="1828800" cy="6858"/>
                        </a:xfrm>
                      </wpg:grpSpPr>
                      <wps:wsp>
                        <wps:cNvPr id="57802" name="Shape 57802"/>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874" style="width:144pt;height:0.539978pt;mso-position-horizontal-relative:char;mso-position-vertical-relative:line" coordsize="18288,68">
                <v:shape id="Shape 57803"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sz w:val="22"/>
        </w:rPr>
        <w:t xml:space="preserve"> </w:t>
      </w:r>
    </w:p>
    <w:p w14:paraId="6EFA18E1" w14:textId="77777777" w:rsidR="00A932C3" w:rsidRDefault="00324E68">
      <w:pPr>
        <w:pStyle w:val="Heading3"/>
        <w:ind w:left="-4"/>
      </w:pPr>
      <w:r>
        <w:t xml:space="preserve">Forced marriage  </w:t>
      </w:r>
    </w:p>
    <w:p w14:paraId="0B997471" w14:textId="77777777" w:rsidR="00A932C3" w:rsidRDefault="00324E68">
      <w:pPr>
        <w:spacing w:after="10"/>
        <w:ind w:left="-4" w:right="10"/>
      </w:pPr>
      <w: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w:t>
      </w:r>
      <w:r>
        <w:t xml:space="preserve">e perceived cultural practices to coerce a person into marriage. Schools and colleges can play an important role in safeguarding children from forced marriage. </w:t>
      </w:r>
    </w:p>
    <w:p w14:paraId="1914BA8A" w14:textId="77777777" w:rsidR="00A932C3" w:rsidRDefault="00324E68">
      <w:pPr>
        <w:spacing w:after="0" w:line="259" w:lineRule="auto"/>
        <w:ind w:left="1" w:firstLine="0"/>
      </w:pPr>
      <w:r>
        <w:t xml:space="preserve"> </w:t>
      </w:r>
    </w:p>
    <w:p w14:paraId="4B450F68" w14:textId="77777777" w:rsidR="00A932C3" w:rsidRDefault="00324E68">
      <w:pPr>
        <w:spacing w:after="9"/>
        <w:ind w:left="-4" w:right="10"/>
      </w:pPr>
      <w: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264">
        <w:r>
          <w:rPr>
            <w:color w:val="467886"/>
            <w:u w:val="single" w:color="467886"/>
          </w:rPr>
          <w:t>The right to</w:t>
        </w:r>
      </w:hyperlink>
      <w:hyperlink r:id="rId265">
        <w:r>
          <w:rPr>
            <w:color w:val="467886"/>
          </w:rPr>
          <w:t xml:space="preserve"> </w:t>
        </w:r>
      </w:hyperlink>
      <w:hyperlink r:id="rId266">
        <w:r>
          <w:rPr>
            <w:color w:val="467886"/>
            <w:u w:val="single" w:color="467886"/>
          </w:rPr>
          <w:t>choose: government guidance on forced marriage -</w:t>
        </w:r>
      </w:hyperlink>
      <w:hyperlink r:id="rId267">
        <w:r>
          <w:t xml:space="preserve"> </w:t>
        </w:r>
      </w:hyperlink>
      <w:hyperlink r:id="rId268">
        <w:r>
          <w:rPr>
            <w:color w:val="467886"/>
            <w:u w:val="single" w:color="467886"/>
          </w:rPr>
          <w:t>GOV.UK (www.gov.uk)</w:t>
        </w:r>
      </w:hyperlink>
      <w:hyperlink r:id="rId269">
        <w:r>
          <w:t xml:space="preserve"> </w:t>
        </w:r>
      </w:hyperlink>
      <w:r>
        <w:t xml:space="preserve">School and college staff can contact the Forced Marriage Unit if they need advice or information: Contact: 020 7008 0151 or email </w:t>
      </w:r>
      <w:r>
        <w:rPr>
          <w:color w:val="467886"/>
          <w:u w:val="single" w:color="467886"/>
        </w:rPr>
        <w:t>fmu@fcdo.gov.uk</w:t>
      </w:r>
      <w:r>
        <w:t xml:space="preserve">.  </w:t>
      </w:r>
    </w:p>
    <w:p w14:paraId="336CE95D" w14:textId="77777777" w:rsidR="00A932C3" w:rsidRDefault="00324E68">
      <w:pPr>
        <w:spacing w:after="0" w:line="259" w:lineRule="auto"/>
        <w:ind w:left="1" w:firstLine="0"/>
      </w:pPr>
      <w:r>
        <w:t xml:space="preserve"> </w:t>
      </w:r>
    </w:p>
    <w:p w14:paraId="744173CB" w14:textId="77777777" w:rsidR="00A932C3" w:rsidRDefault="00324E68">
      <w:pPr>
        <w:ind w:left="-4" w:right="10"/>
      </w:pPr>
      <w: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0E0418E0" w14:textId="77777777" w:rsidR="00A932C3" w:rsidRDefault="00324E68">
      <w:pPr>
        <w:spacing w:after="198" w:line="259" w:lineRule="auto"/>
        <w:ind w:left="1" w:firstLine="0"/>
      </w:pPr>
      <w:r>
        <w:t xml:space="preserve"> </w:t>
      </w:r>
    </w:p>
    <w:p w14:paraId="4E3B1307" w14:textId="77777777" w:rsidR="00A932C3" w:rsidRDefault="00324E68">
      <w:pPr>
        <w:pStyle w:val="Heading1"/>
        <w:spacing w:after="43"/>
        <w:ind w:left="-4"/>
      </w:pPr>
      <w:bookmarkStart w:id="12" w:name="_Toc57470"/>
      <w:r>
        <w:t xml:space="preserve">Additional advice and support  </w:t>
      </w:r>
      <w:bookmarkEnd w:id="12"/>
    </w:p>
    <w:p w14:paraId="4B55E296" w14:textId="77777777" w:rsidR="00A932C3" w:rsidRDefault="00324E68">
      <w:pPr>
        <w:spacing w:after="9"/>
        <w:ind w:left="-4" w:right="10"/>
      </w:pPr>
      <w:r>
        <w:t xml:space="preserve">There is a wealth of information available to support schools and colleges. The following list is not exhaustive but should provide a useful starting point:  </w:t>
      </w:r>
    </w:p>
    <w:p w14:paraId="38E275AD" w14:textId="77777777" w:rsidR="00A932C3" w:rsidRDefault="00324E68">
      <w:pPr>
        <w:spacing w:after="1" w:line="259" w:lineRule="auto"/>
        <w:ind w:left="1" w:firstLine="0"/>
      </w:pPr>
      <w:r>
        <w:t xml:space="preserve"> </w:t>
      </w:r>
    </w:p>
    <w:p w14:paraId="62C937E0" w14:textId="77777777" w:rsidR="00A932C3" w:rsidRDefault="00324E68">
      <w:pPr>
        <w:pStyle w:val="Heading3"/>
        <w:ind w:left="-4"/>
      </w:pPr>
      <w:r>
        <w:t xml:space="preserve">Abuse </w:t>
      </w:r>
      <w:r>
        <w:rPr>
          <w:b w:val="0"/>
          <w:color w:val="000000"/>
        </w:rPr>
        <w:t xml:space="preserve"> </w:t>
      </w:r>
    </w:p>
    <w:p w14:paraId="5C7177E5" w14:textId="77777777" w:rsidR="00A932C3" w:rsidRDefault="00324E68">
      <w:pPr>
        <w:ind w:left="-4" w:right="10"/>
      </w:pPr>
      <w:r>
        <w:t xml:space="preserve">Centre of Expertise on Child Sexual Abuse has introduced new resources to help education professionals identify and respond to </w:t>
      </w:r>
      <w:hyperlink r:id="rId270">
        <w:r>
          <w:rPr>
            <w:color w:val="467886"/>
            <w:u w:val="single" w:color="467886"/>
          </w:rPr>
          <w:t>concerns of child sexual abuse and</w:t>
        </w:r>
      </w:hyperlink>
      <w:hyperlink r:id="rId271">
        <w:r>
          <w:t xml:space="preserve"> </w:t>
        </w:r>
      </w:hyperlink>
      <w:hyperlink r:id="rId272">
        <w:r>
          <w:rPr>
            <w:color w:val="467886"/>
            <w:u w:val="single" w:color="467886"/>
          </w:rPr>
          <w:t>abusive behaviours.</w:t>
        </w:r>
      </w:hyperlink>
      <w:hyperlink r:id="rId273">
        <w:r>
          <w:t xml:space="preserve"> </w:t>
        </w:r>
      </w:hyperlink>
      <w:r>
        <w:t xml:space="preserve"> </w:t>
      </w:r>
    </w:p>
    <w:p w14:paraId="08117F23" w14:textId="77777777" w:rsidR="00A932C3" w:rsidRDefault="00324E68">
      <w:pPr>
        <w:spacing w:after="158" w:line="259" w:lineRule="auto"/>
        <w:ind w:left="-4"/>
      </w:pPr>
      <w:hyperlink r:id="rId274">
        <w:r>
          <w:rPr>
            <w:color w:val="467886"/>
            <w:u w:val="single" w:color="467886"/>
          </w:rPr>
          <w:t>Signs and indicators of child sexual abuse | CSA Centre</w:t>
        </w:r>
      </w:hyperlink>
      <w:hyperlink r:id="rId275">
        <w:r>
          <w:t xml:space="preserve"> </w:t>
        </w:r>
      </w:hyperlink>
      <w:r>
        <w:t xml:space="preserve"> </w:t>
      </w:r>
    </w:p>
    <w:p w14:paraId="22470742" w14:textId="77777777" w:rsidR="00A932C3" w:rsidRDefault="00324E68">
      <w:pPr>
        <w:spacing w:after="158" w:line="259" w:lineRule="auto"/>
        <w:ind w:left="-4"/>
      </w:pPr>
      <w:hyperlink r:id="rId276">
        <w:r>
          <w:rPr>
            <w:color w:val="467886"/>
            <w:u w:val="single" w:color="467886"/>
          </w:rPr>
          <w:t>What to do if you're worried a child is being abused</w:t>
        </w:r>
      </w:hyperlink>
      <w:hyperlink r:id="rId277">
        <w:r>
          <w:t xml:space="preserve"> </w:t>
        </w:r>
      </w:hyperlink>
      <w:r>
        <w:t xml:space="preserve">– DfE advice  </w:t>
      </w:r>
    </w:p>
    <w:p w14:paraId="19EE2288" w14:textId="77777777" w:rsidR="00A932C3" w:rsidRDefault="00324E68">
      <w:pPr>
        <w:spacing w:after="158" w:line="259" w:lineRule="auto"/>
        <w:ind w:left="-4"/>
      </w:pPr>
      <w:hyperlink r:id="rId278">
        <w:r>
          <w:rPr>
            <w:color w:val="467886"/>
            <w:u w:val="single" w:color="467886"/>
          </w:rPr>
          <w:t>Domestic abuse: Various Information/Guidance</w:t>
        </w:r>
      </w:hyperlink>
      <w:hyperlink r:id="rId279">
        <w:r>
          <w:t xml:space="preserve"> </w:t>
        </w:r>
      </w:hyperlink>
      <w:r>
        <w:t xml:space="preserve">– Home Office advice  </w:t>
      </w:r>
    </w:p>
    <w:p w14:paraId="5FAF6DAE" w14:textId="77777777" w:rsidR="00A932C3" w:rsidRDefault="00324E68">
      <w:pPr>
        <w:spacing w:after="158" w:line="259" w:lineRule="auto"/>
        <w:ind w:left="-4"/>
      </w:pPr>
      <w:hyperlink r:id="rId280">
        <w:r>
          <w:rPr>
            <w:color w:val="467886"/>
            <w:u w:val="single" w:color="467886"/>
          </w:rPr>
          <w:t>Faith based abuse: National Action Plan</w:t>
        </w:r>
      </w:hyperlink>
      <w:hyperlink r:id="rId281">
        <w:r>
          <w:t xml:space="preserve"> </w:t>
        </w:r>
      </w:hyperlink>
      <w:r>
        <w:t xml:space="preserve">– DfE advice  </w:t>
      </w:r>
    </w:p>
    <w:p w14:paraId="680FA7D7" w14:textId="77777777" w:rsidR="00A932C3" w:rsidRDefault="00324E68">
      <w:pPr>
        <w:spacing w:after="158" w:line="259" w:lineRule="auto"/>
        <w:ind w:left="-4"/>
      </w:pPr>
      <w:hyperlink r:id="rId282">
        <w:r>
          <w:rPr>
            <w:color w:val="467886"/>
            <w:u w:val="single" w:color="467886"/>
          </w:rPr>
          <w:t>Forced marriage resource pack</w:t>
        </w:r>
      </w:hyperlink>
      <w:hyperlink r:id="rId283">
        <w:r>
          <w:t xml:space="preserve"> </w:t>
        </w:r>
      </w:hyperlink>
      <w:r>
        <w:t xml:space="preserve"> </w:t>
      </w:r>
    </w:p>
    <w:p w14:paraId="3BA6D812" w14:textId="77777777" w:rsidR="00A932C3" w:rsidRDefault="00324E68">
      <w:pPr>
        <w:spacing w:after="158" w:line="259" w:lineRule="auto"/>
        <w:ind w:left="-4"/>
      </w:pPr>
      <w:hyperlink r:id="rId284">
        <w:r>
          <w:rPr>
            <w:color w:val="467886"/>
            <w:u w:val="single" w:color="467886"/>
          </w:rPr>
          <w:t>Disrespect NoBody campaign – GOV.UK</w:t>
        </w:r>
      </w:hyperlink>
      <w:hyperlink r:id="rId285">
        <w:r>
          <w:rPr>
            <w:u w:val="single" w:color="467886"/>
          </w:rPr>
          <w:t xml:space="preserve"> </w:t>
        </w:r>
      </w:hyperlink>
      <w:r>
        <w:t xml:space="preserve">– Home Office website  </w:t>
      </w:r>
    </w:p>
    <w:p w14:paraId="0ABBF2C6" w14:textId="77777777" w:rsidR="00A932C3" w:rsidRDefault="00324E68">
      <w:pPr>
        <w:spacing w:after="158" w:line="259" w:lineRule="auto"/>
        <w:ind w:left="-4"/>
      </w:pPr>
      <w:hyperlink r:id="rId286">
        <w:r>
          <w:rPr>
            <w:color w:val="467886"/>
            <w:u w:val="single" w:color="467886"/>
          </w:rPr>
          <w:t>Tackling Child Sexual Abuse Strategy</w:t>
        </w:r>
      </w:hyperlink>
      <w:hyperlink r:id="rId287">
        <w:r>
          <w:t xml:space="preserve"> </w:t>
        </w:r>
      </w:hyperlink>
      <w:r>
        <w:t xml:space="preserve">– Home Office policy paper  </w:t>
      </w:r>
    </w:p>
    <w:p w14:paraId="675D4D4D" w14:textId="77777777" w:rsidR="00A932C3" w:rsidRDefault="00324E68">
      <w:pPr>
        <w:spacing w:after="0" w:line="399" w:lineRule="auto"/>
        <w:ind w:left="-4" w:right="2066"/>
      </w:pPr>
      <w:hyperlink r:id="rId288">
        <w:r>
          <w:rPr>
            <w:color w:val="467886"/>
            <w:u w:val="single" w:color="467886"/>
          </w:rPr>
          <w:t>Together we can stop child sexual abuse</w:t>
        </w:r>
      </w:hyperlink>
      <w:hyperlink r:id="rId289">
        <w:r>
          <w:t xml:space="preserve"> </w:t>
        </w:r>
      </w:hyperlink>
      <w:r>
        <w:t xml:space="preserve">– HM Government campaign  </w:t>
      </w:r>
      <w:r>
        <w:rPr>
          <w:b/>
          <w:color w:val="0F4761"/>
        </w:rPr>
        <w:t xml:space="preserve">Bullying  </w:t>
      </w:r>
    </w:p>
    <w:p w14:paraId="016B65BB" w14:textId="77777777" w:rsidR="00A932C3" w:rsidRDefault="00324E68">
      <w:pPr>
        <w:spacing w:after="158" w:line="259" w:lineRule="auto"/>
        <w:ind w:left="-4"/>
      </w:pPr>
      <w:hyperlink r:id="rId290">
        <w:r>
          <w:rPr>
            <w:color w:val="467886"/>
            <w:u w:val="single" w:color="467886"/>
          </w:rPr>
          <w:t>Preventing bullying including cyberbullying</w:t>
        </w:r>
      </w:hyperlink>
      <w:hyperlink r:id="rId291">
        <w:r>
          <w:t xml:space="preserve"> </w:t>
        </w:r>
      </w:hyperlink>
      <w:r>
        <w:t xml:space="preserve">– DfE advice  </w:t>
      </w:r>
    </w:p>
    <w:p w14:paraId="102A79D9" w14:textId="77777777" w:rsidR="00A932C3" w:rsidRDefault="00324E68">
      <w:pPr>
        <w:pStyle w:val="Heading3"/>
        <w:ind w:left="-4"/>
      </w:pPr>
      <w:r>
        <w:t xml:space="preserve">Children missing from education, home or care  </w:t>
      </w:r>
    </w:p>
    <w:p w14:paraId="4891352D" w14:textId="77777777" w:rsidR="00A932C3" w:rsidRDefault="00324E68">
      <w:pPr>
        <w:ind w:left="-4" w:right="10"/>
      </w:pPr>
      <w:hyperlink r:id="rId292">
        <w:r>
          <w:rPr>
            <w:color w:val="467886"/>
            <w:u w:val="single" w:color="467886"/>
          </w:rPr>
          <w:t>Children missing education</w:t>
        </w:r>
      </w:hyperlink>
      <w:hyperlink r:id="rId293">
        <w:r>
          <w:t xml:space="preserve"> </w:t>
        </w:r>
      </w:hyperlink>
      <w:r>
        <w:t xml:space="preserve">– DfE statutory guidance  </w:t>
      </w:r>
    </w:p>
    <w:p w14:paraId="05B1DF4C" w14:textId="77777777" w:rsidR="00A932C3" w:rsidRDefault="00324E68">
      <w:pPr>
        <w:spacing w:after="0" w:line="259" w:lineRule="auto"/>
        <w:ind w:left="-4"/>
      </w:pPr>
      <w:hyperlink r:id="rId294">
        <w:r>
          <w:rPr>
            <w:color w:val="467886"/>
            <w:u w:val="single" w:color="467886"/>
          </w:rPr>
          <w:t>Children who run away or go missing from home or care</w:t>
        </w:r>
      </w:hyperlink>
      <w:hyperlink r:id="rId295">
        <w:r>
          <w:t xml:space="preserve"> </w:t>
        </w:r>
      </w:hyperlink>
      <w:r>
        <w:t xml:space="preserve">– DfE statutory guidance </w:t>
      </w:r>
      <w:hyperlink r:id="rId296">
        <w:r>
          <w:rPr>
            <w:color w:val="467886"/>
            <w:u w:val="single" w:color="467886"/>
          </w:rPr>
          <w:t>Missing Children</w:t>
        </w:r>
      </w:hyperlink>
      <w:hyperlink r:id="rId297">
        <w:r>
          <w:rPr>
            <w:color w:val="467886"/>
          </w:rPr>
          <w:t xml:space="preserve"> </w:t>
        </w:r>
      </w:hyperlink>
      <w:hyperlink r:id="rId298">
        <w:r>
          <w:rPr>
            <w:color w:val="467886"/>
            <w:u w:val="single" w:color="467886"/>
          </w:rPr>
          <w:t>and Adults strategy</w:t>
        </w:r>
      </w:hyperlink>
      <w:hyperlink r:id="rId299">
        <w:r>
          <w:t xml:space="preserve"> </w:t>
        </w:r>
      </w:hyperlink>
      <w:r>
        <w:t xml:space="preserve">– Home Office strategy  </w:t>
      </w:r>
    </w:p>
    <w:p w14:paraId="13D01D9C" w14:textId="77777777" w:rsidR="00A932C3" w:rsidRDefault="00324E68">
      <w:pPr>
        <w:spacing w:after="0" w:line="259" w:lineRule="auto"/>
        <w:ind w:left="1" w:firstLine="0"/>
      </w:pPr>
      <w:r>
        <w:t xml:space="preserve"> </w:t>
      </w:r>
    </w:p>
    <w:p w14:paraId="320CA996" w14:textId="77777777" w:rsidR="00A932C3" w:rsidRDefault="00324E68">
      <w:pPr>
        <w:pStyle w:val="Heading3"/>
        <w:ind w:left="-4"/>
      </w:pPr>
      <w:r>
        <w:t>Children with family members in prison</w:t>
      </w:r>
      <w:r>
        <w:rPr>
          <w:color w:val="000000"/>
        </w:rPr>
        <w:t xml:space="preserve">  </w:t>
      </w:r>
    </w:p>
    <w:p w14:paraId="2AD2B703" w14:textId="77777777" w:rsidR="00A932C3" w:rsidRDefault="00324E68">
      <w:pPr>
        <w:spacing w:after="9"/>
        <w:ind w:left="-4" w:right="10"/>
      </w:pPr>
      <w:r>
        <w:t xml:space="preserve">The </w:t>
      </w:r>
      <w:hyperlink r:id="rId300">
        <w:r>
          <w:rPr>
            <w:color w:val="467886"/>
            <w:u w:val="single" w:color="467886"/>
          </w:rPr>
          <w:t>Prisoners’ Families Helpline</w:t>
        </w:r>
      </w:hyperlink>
      <w:hyperlink r:id="rId301">
        <w:r>
          <w:t xml:space="preserve"> </w:t>
        </w:r>
      </w:hyperlink>
      <w:r>
        <w:t xml:space="preserve">offers free, confidential support and advice for families in England and Wales who are in contact with the criminal justice system.  </w:t>
      </w:r>
    </w:p>
    <w:p w14:paraId="70C3A78F" w14:textId="77777777" w:rsidR="00A932C3" w:rsidRDefault="00324E68">
      <w:pPr>
        <w:spacing w:after="1" w:line="259" w:lineRule="auto"/>
        <w:ind w:left="1" w:firstLine="0"/>
      </w:pPr>
      <w:r>
        <w:t xml:space="preserve"> </w:t>
      </w:r>
    </w:p>
    <w:p w14:paraId="1CFFFF01" w14:textId="77777777" w:rsidR="00A932C3" w:rsidRDefault="00324E68">
      <w:pPr>
        <w:pStyle w:val="Heading3"/>
        <w:ind w:left="-4"/>
      </w:pPr>
      <w:r>
        <w:t>Child exploitation</w:t>
      </w:r>
      <w:r>
        <w:rPr>
          <w:color w:val="000000"/>
        </w:rPr>
        <w:t xml:space="preserve">  </w:t>
      </w:r>
    </w:p>
    <w:p w14:paraId="23E68C20" w14:textId="77777777" w:rsidR="00A932C3" w:rsidRDefault="00324E68">
      <w:pPr>
        <w:spacing w:after="158" w:line="259" w:lineRule="auto"/>
        <w:ind w:left="-4"/>
      </w:pPr>
      <w:hyperlink r:id="rId302">
        <w:r>
          <w:rPr>
            <w:color w:val="467886"/>
            <w:u w:val="single" w:color="467886"/>
          </w:rPr>
          <w:t>Modern Slavery: statutory guidance for England and Wales (under s49 of the Modern</w:t>
        </w:r>
      </w:hyperlink>
      <w:hyperlink r:id="rId303">
        <w:r>
          <w:t xml:space="preserve"> </w:t>
        </w:r>
      </w:hyperlink>
      <w:hyperlink r:id="rId304">
        <w:r>
          <w:rPr>
            <w:color w:val="467886"/>
            <w:u w:val="single" w:color="467886"/>
          </w:rPr>
          <w:t>Slavery Act</w:t>
        </w:r>
      </w:hyperlink>
      <w:hyperlink r:id="rId305">
        <w:r>
          <w:rPr>
            <w:color w:val="467886"/>
          </w:rPr>
          <w:t xml:space="preserve"> </w:t>
        </w:r>
      </w:hyperlink>
      <w:hyperlink r:id="rId306">
        <w:r>
          <w:rPr>
            <w:color w:val="467886"/>
            <w:u w:val="single" w:color="467886"/>
          </w:rPr>
          <w:t>2015) and non-statutory guidance for Scotland and Northern Ireland</w:t>
        </w:r>
      </w:hyperlink>
      <w:hyperlink r:id="rId307">
        <w:r>
          <w:t xml:space="preserve"> </w:t>
        </w:r>
      </w:hyperlink>
      <w:hyperlink r:id="rId308">
        <w:r>
          <w:rPr>
            <w:color w:val="467886"/>
            <w:u w:val="single" w:color="467886"/>
          </w:rPr>
          <w:t>(accessible version) - GOV.UK</w:t>
        </w:r>
      </w:hyperlink>
      <w:hyperlink r:id="rId309">
        <w:r>
          <w:t xml:space="preserve"> </w:t>
        </w:r>
      </w:hyperlink>
      <w:r>
        <w:t xml:space="preserve">– Modern Slavery Statutory Guidance.  </w:t>
      </w:r>
    </w:p>
    <w:p w14:paraId="5E9A7B65" w14:textId="77777777" w:rsidR="00A932C3" w:rsidRDefault="00324E68">
      <w:pPr>
        <w:ind w:left="-4" w:right="10"/>
      </w:pPr>
      <w:hyperlink r:id="rId310">
        <w:r>
          <w:rPr>
            <w:color w:val="467886"/>
            <w:u w:val="single" w:color="467886"/>
          </w:rPr>
          <w:t>Interim guidance for ICTGs</w:t>
        </w:r>
      </w:hyperlink>
      <w:hyperlink r:id="rId311">
        <w:r>
          <w:t xml:space="preserve"> </w:t>
        </w:r>
      </w:hyperlink>
      <w:r>
        <w:t xml:space="preserve">- Independent Child Trafficking Guardianship Service guidance  </w:t>
      </w:r>
    </w:p>
    <w:p w14:paraId="677CAE60" w14:textId="77777777" w:rsidR="00A932C3" w:rsidRDefault="00324E68">
      <w:pPr>
        <w:spacing w:after="158" w:line="259" w:lineRule="auto"/>
        <w:ind w:left="-4"/>
      </w:pPr>
      <w:hyperlink r:id="rId312">
        <w:r>
          <w:rPr>
            <w:color w:val="467886"/>
            <w:u w:val="single" w:color="467886"/>
          </w:rPr>
          <w:t>Safeguarding children who may have been trafficked</w:t>
        </w:r>
      </w:hyperlink>
      <w:hyperlink r:id="rId313">
        <w:r>
          <w:t xml:space="preserve"> </w:t>
        </w:r>
      </w:hyperlink>
      <w:r>
        <w:t xml:space="preserve">– DfE and Home Office guidance  </w:t>
      </w:r>
    </w:p>
    <w:p w14:paraId="353A8D2A" w14:textId="77777777" w:rsidR="00A932C3" w:rsidRDefault="00324E68">
      <w:pPr>
        <w:spacing w:after="158" w:line="259" w:lineRule="auto"/>
        <w:ind w:left="-4"/>
      </w:pPr>
      <w:hyperlink r:id="rId314">
        <w:r>
          <w:rPr>
            <w:color w:val="467886"/>
            <w:u w:val="single" w:color="467886"/>
          </w:rPr>
          <w:t>Care of unaccompanied migrant children and child victims of modern slavery</w:t>
        </w:r>
      </w:hyperlink>
      <w:hyperlink r:id="rId315">
        <w:r>
          <w:t xml:space="preserve"> </w:t>
        </w:r>
      </w:hyperlink>
      <w:r>
        <w:t xml:space="preserve">– DfE statutory guidance  </w:t>
      </w:r>
    </w:p>
    <w:p w14:paraId="22465A81" w14:textId="77777777" w:rsidR="00A932C3" w:rsidRDefault="00324E68">
      <w:pPr>
        <w:spacing w:after="158" w:line="259" w:lineRule="auto"/>
        <w:ind w:left="-4"/>
      </w:pPr>
      <w:hyperlink r:id="rId316">
        <w:r>
          <w:rPr>
            <w:color w:val="467886"/>
            <w:u w:val="single" w:color="467886"/>
          </w:rPr>
          <w:t>Modern slavery: how to identify and support victims</w:t>
        </w:r>
      </w:hyperlink>
      <w:hyperlink r:id="rId317">
        <w:r>
          <w:t xml:space="preserve"> </w:t>
        </w:r>
      </w:hyperlink>
      <w:r>
        <w:t xml:space="preserve">– Home Office statutory guidance </w:t>
      </w:r>
      <w:hyperlink r:id="rId318">
        <w:r>
          <w:rPr>
            <w:color w:val="467886"/>
            <w:u w:val="single" w:color="467886"/>
          </w:rPr>
          <w:t>Child</w:t>
        </w:r>
      </w:hyperlink>
      <w:hyperlink r:id="rId319">
        <w:r>
          <w:rPr>
            <w:color w:val="467886"/>
          </w:rPr>
          <w:t xml:space="preserve"> </w:t>
        </w:r>
      </w:hyperlink>
      <w:hyperlink r:id="rId320">
        <w:r>
          <w:rPr>
            <w:color w:val="467886"/>
            <w:u w:val="single" w:color="467886"/>
          </w:rPr>
          <w:t>exploitation disruption toolkit</w:t>
        </w:r>
      </w:hyperlink>
      <w:hyperlink r:id="rId321">
        <w:r>
          <w:t xml:space="preserve"> </w:t>
        </w:r>
      </w:hyperlink>
      <w:r>
        <w:t xml:space="preserve">– Home Office guidance  </w:t>
      </w:r>
    </w:p>
    <w:p w14:paraId="000ABCF7" w14:textId="77777777" w:rsidR="00A932C3" w:rsidRDefault="00324E68">
      <w:pPr>
        <w:spacing w:after="158" w:line="259" w:lineRule="auto"/>
        <w:ind w:left="-4"/>
      </w:pPr>
      <w:hyperlink r:id="rId322">
        <w:r>
          <w:rPr>
            <w:color w:val="467886"/>
            <w:u w:val="single" w:color="467886"/>
          </w:rPr>
          <w:t>Preventing Child Sexual Exploitation – The Children’s Society and Home Office</w:t>
        </w:r>
      </w:hyperlink>
      <w:hyperlink r:id="rId323">
        <w:r>
          <w:t xml:space="preserve"> </w:t>
        </w:r>
      </w:hyperlink>
      <w:r>
        <w:t xml:space="preserve"> </w:t>
      </w:r>
    </w:p>
    <w:p w14:paraId="370008C0" w14:textId="77777777" w:rsidR="00A932C3" w:rsidRDefault="00324E68">
      <w:pPr>
        <w:ind w:left="-4" w:right="10"/>
      </w:pPr>
      <w:hyperlink r:id="rId324">
        <w:r>
          <w:rPr>
            <w:color w:val="467886"/>
            <w:u w:val="single" w:color="467886"/>
          </w:rPr>
          <w:t>County Lines Toolkit For Professionals</w:t>
        </w:r>
      </w:hyperlink>
      <w:hyperlink r:id="rId325">
        <w:r>
          <w:t xml:space="preserve"> </w:t>
        </w:r>
      </w:hyperlink>
      <w:r>
        <w:t xml:space="preserve">– The Children's Society in partnership with Victim Support and National Police Chiefs’ Council  </w:t>
      </w:r>
    </w:p>
    <w:p w14:paraId="175C905C" w14:textId="77777777" w:rsidR="00A932C3" w:rsidRDefault="00324E68">
      <w:pPr>
        <w:spacing w:after="9"/>
        <w:ind w:left="-4" w:right="10"/>
      </w:pPr>
      <w:hyperlink r:id="rId326">
        <w:r>
          <w:rPr>
            <w:color w:val="467886"/>
            <w:u w:val="single" w:color="467886"/>
          </w:rPr>
          <w:t>Multi-agency practice principles for responding to child exploitation and extra-familial</w:t>
        </w:r>
      </w:hyperlink>
      <w:hyperlink r:id="rId327">
        <w:r>
          <w:t xml:space="preserve"> </w:t>
        </w:r>
      </w:hyperlink>
      <w:hyperlink r:id="rId328">
        <w:r>
          <w:rPr>
            <w:color w:val="467886"/>
            <w:u w:val="single" w:color="467886"/>
          </w:rPr>
          <w:t>harm</w:t>
        </w:r>
      </w:hyperlink>
      <w:hyperlink r:id="rId329">
        <w:r>
          <w:t xml:space="preserve"> </w:t>
        </w:r>
      </w:hyperlink>
      <w:r>
        <w:t xml:space="preserve">– nonstatutory guidance for local areas, developed by the Tackling Child Exploitation (TCE) Support </w:t>
      </w:r>
    </w:p>
    <w:p w14:paraId="551ADC08" w14:textId="77777777" w:rsidR="00A932C3" w:rsidRDefault="00324E68">
      <w:pPr>
        <w:ind w:left="-4" w:right="10"/>
      </w:pPr>
      <w:r>
        <w:t xml:space="preserve">Programme, funded by the Department for Education and supported by the Home Office, the Department for Health and Social Care and the Ministry of Justice  </w:t>
      </w:r>
    </w:p>
    <w:p w14:paraId="02780B1B" w14:textId="77777777" w:rsidR="00A932C3" w:rsidRDefault="00324E68">
      <w:pPr>
        <w:ind w:left="-4" w:right="10"/>
      </w:pPr>
      <w:hyperlink r:id="rId330">
        <w:r>
          <w:rPr>
            <w:color w:val="467886"/>
            <w:u w:val="single" w:color="467886"/>
          </w:rPr>
          <w:t>What is county lines and child criminal exploitation? - Missing People</w:t>
        </w:r>
      </w:hyperlink>
      <w:hyperlink r:id="rId331">
        <w:r>
          <w:t xml:space="preserve"> </w:t>
        </w:r>
      </w:hyperlink>
      <w:r>
        <w:t xml:space="preserve">advice </w:t>
      </w:r>
      <w:hyperlink r:id="rId332">
        <w:r>
          <w:rPr>
            <w:color w:val="467886"/>
            <w:u w:val="single" w:color="467886"/>
          </w:rPr>
          <w:t>SafeCall - Missing</w:t>
        </w:r>
      </w:hyperlink>
      <w:hyperlink r:id="rId333">
        <w:r>
          <w:rPr>
            <w:color w:val="467886"/>
          </w:rPr>
          <w:t xml:space="preserve"> </w:t>
        </w:r>
      </w:hyperlink>
      <w:hyperlink r:id="rId334">
        <w:r>
          <w:rPr>
            <w:color w:val="467886"/>
            <w:u w:val="single" w:color="467886"/>
          </w:rPr>
          <w:t>People</w:t>
        </w:r>
      </w:hyperlink>
      <w:hyperlink r:id="rId335">
        <w:r>
          <w:t xml:space="preserve"> </w:t>
        </w:r>
      </w:hyperlink>
      <w:r>
        <w:t xml:space="preserve">- SafeCall is a national free, confidential and anonymous helpline and support service for young people and family members that are affected by missing, county lines and criminal exploitation. Confidential support and webinars are also available to professionals.  </w:t>
      </w:r>
    </w:p>
    <w:p w14:paraId="524EC95F" w14:textId="77777777" w:rsidR="00A932C3" w:rsidRDefault="00324E68">
      <w:pPr>
        <w:spacing w:after="9"/>
        <w:ind w:left="-4" w:right="10"/>
      </w:pPr>
      <w:hyperlink r:id="rId336">
        <w:r>
          <w:rPr>
            <w:color w:val="467886"/>
            <w:u w:val="single" w:color="467886"/>
          </w:rPr>
          <w:t>County Lines Support and Rescue | Catch22</w:t>
        </w:r>
      </w:hyperlink>
      <w:hyperlink r:id="rId337">
        <w:r>
          <w:t xml:space="preserve"> </w:t>
        </w:r>
      </w:hyperlink>
      <w:r>
        <w:t xml:space="preserve">- A specialist support and rescue service for young people and their families who are criminally exploited through county lines. (The service currently operates from London, Merseyside, the West Midlands, West Yorkshire and Greater Manchester). </w:t>
      </w:r>
    </w:p>
    <w:p w14:paraId="3390350E" w14:textId="77777777" w:rsidR="00A932C3" w:rsidRDefault="00324E68">
      <w:pPr>
        <w:spacing w:after="1" w:line="259" w:lineRule="auto"/>
        <w:ind w:left="1" w:firstLine="0"/>
      </w:pPr>
      <w:r>
        <w:t xml:space="preserve"> </w:t>
      </w:r>
    </w:p>
    <w:p w14:paraId="3E502803" w14:textId="77777777" w:rsidR="00A932C3" w:rsidRDefault="00324E68">
      <w:pPr>
        <w:pStyle w:val="Heading3"/>
        <w:ind w:left="-4"/>
      </w:pPr>
      <w:r>
        <w:t xml:space="preserve">Confidentiality </w:t>
      </w:r>
      <w:r>
        <w:rPr>
          <w:color w:val="000000"/>
        </w:rPr>
        <w:t xml:space="preserve"> </w:t>
      </w:r>
    </w:p>
    <w:p w14:paraId="241BD156" w14:textId="77777777" w:rsidR="00A932C3" w:rsidRDefault="00324E68">
      <w:pPr>
        <w:ind w:left="-4" w:right="10"/>
      </w:pPr>
      <w:hyperlink r:id="rId338">
        <w:r>
          <w:rPr>
            <w:color w:val="467886"/>
            <w:u w:val="single" w:color="467886"/>
          </w:rPr>
          <w:t>Gillick competency Fraser guidelines</w:t>
        </w:r>
      </w:hyperlink>
      <w:hyperlink r:id="rId339">
        <w:r>
          <w:t xml:space="preserve"> </w:t>
        </w:r>
      </w:hyperlink>
      <w:r>
        <w:t xml:space="preserve">– Guidelines to help with balancing children’s rights along with safeguarding responsibilities.  </w:t>
      </w:r>
    </w:p>
    <w:p w14:paraId="5A3A8657" w14:textId="77777777" w:rsidR="00A932C3" w:rsidRDefault="00324E68">
      <w:pPr>
        <w:spacing w:after="0" w:line="259" w:lineRule="auto"/>
        <w:ind w:left="1" w:firstLine="0"/>
      </w:pPr>
      <w:r>
        <w:rPr>
          <w:b/>
          <w:color w:val="0F4761"/>
        </w:rPr>
        <w:t xml:space="preserve"> </w:t>
      </w:r>
    </w:p>
    <w:p w14:paraId="124096FE" w14:textId="77777777" w:rsidR="00A932C3" w:rsidRDefault="00324E68">
      <w:pPr>
        <w:pStyle w:val="Heading3"/>
        <w:ind w:left="-4"/>
      </w:pPr>
      <w:r>
        <w:t xml:space="preserve">Drugs  </w:t>
      </w:r>
    </w:p>
    <w:p w14:paraId="52ED4A84" w14:textId="77777777" w:rsidR="00A932C3" w:rsidRDefault="00324E68">
      <w:pPr>
        <w:spacing w:after="158" w:line="259" w:lineRule="auto"/>
        <w:ind w:left="-4"/>
      </w:pPr>
      <w:hyperlink r:id="rId340">
        <w:r>
          <w:rPr>
            <w:color w:val="467886"/>
            <w:u w:val="single" w:color="467886"/>
          </w:rPr>
          <w:t>From harm to hope: A 10-year drugs plan to cut crime and save lives</w:t>
        </w:r>
      </w:hyperlink>
      <w:hyperlink r:id="rId341">
        <w:r>
          <w:t xml:space="preserve"> </w:t>
        </w:r>
      </w:hyperlink>
      <w:r>
        <w:t xml:space="preserve">– Home Office strategy </w:t>
      </w:r>
    </w:p>
    <w:p w14:paraId="7450854A" w14:textId="77777777" w:rsidR="00A932C3" w:rsidRDefault="00324E68">
      <w:pPr>
        <w:spacing w:after="158" w:line="259" w:lineRule="auto"/>
        <w:ind w:left="-4"/>
      </w:pPr>
      <w:hyperlink r:id="rId342">
        <w:r>
          <w:rPr>
            <w:color w:val="467886"/>
            <w:u w:val="single" w:color="467886"/>
          </w:rPr>
          <w:t>Honest information about drugs</w:t>
        </w:r>
      </w:hyperlink>
      <w:hyperlink r:id="rId343">
        <w:r>
          <w:t xml:space="preserve"> </w:t>
        </w:r>
      </w:hyperlink>
      <w:r>
        <w:t xml:space="preserve">– Talk to Frank website  </w:t>
      </w:r>
    </w:p>
    <w:p w14:paraId="501651D5" w14:textId="77777777" w:rsidR="00A932C3" w:rsidRDefault="00324E68">
      <w:pPr>
        <w:spacing w:after="1" w:line="259" w:lineRule="auto"/>
        <w:ind w:left="-4"/>
      </w:pPr>
      <w:hyperlink r:id="rId344">
        <w:r>
          <w:rPr>
            <w:color w:val="467886"/>
            <w:u w:val="single" w:color="467886"/>
          </w:rPr>
          <w:t>Drug and Alcohol education – teacher guidance &amp; evidence review</w:t>
        </w:r>
      </w:hyperlink>
      <w:hyperlink r:id="rId345">
        <w:r>
          <w:t xml:space="preserve"> </w:t>
        </w:r>
      </w:hyperlink>
      <w:r>
        <w:t xml:space="preserve">– PSHE Association  </w:t>
      </w:r>
    </w:p>
    <w:p w14:paraId="034E2C3A" w14:textId="77777777" w:rsidR="00A932C3" w:rsidRDefault="00324E68">
      <w:pPr>
        <w:spacing w:after="159" w:line="259" w:lineRule="auto"/>
        <w:ind w:left="1" w:firstLine="0"/>
      </w:pPr>
      <w:r>
        <w:t xml:space="preserve"> </w:t>
      </w:r>
    </w:p>
    <w:p w14:paraId="69036A5C" w14:textId="77777777" w:rsidR="00A932C3" w:rsidRDefault="00324E68">
      <w:pPr>
        <w:pStyle w:val="Heading3"/>
        <w:ind w:left="-4"/>
      </w:pPr>
      <w:r>
        <w:t xml:space="preserve">Honour or faith-based abuse, including FGM and forced marriage  </w:t>
      </w:r>
    </w:p>
    <w:p w14:paraId="43143B98" w14:textId="77777777" w:rsidR="00A932C3" w:rsidRDefault="00324E68">
      <w:pPr>
        <w:spacing w:after="158" w:line="259" w:lineRule="auto"/>
        <w:ind w:left="-4"/>
      </w:pPr>
      <w:hyperlink r:id="rId346">
        <w:r>
          <w:rPr>
            <w:color w:val="467886"/>
            <w:u w:val="single" w:color="467886"/>
          </w:rPr>
          <w:t>Female genital mutilation: information and resources</w:t>
        </w:r>
      </w:hyperlink>
      <w:hyperlink r:id="rId347">
        <w:r>
          <w:t xml:space="preserve"> </w:t>
        </w:r>
      </w:hyperlink>
      <w:r>
        <w:t xml:space="preserve">– Home Office guidance  </w:t>
      </w:r>
    </w:p>
    <w:p w14:paraId="7A3EFD79" w14:textId="77777777" w:rsidR="00A932C3" w:rsidRDefault="00324E68">
      <w:pPr>
        <w:spacing w:after="158" w:line="259" w:lineRule="auto"/>
        <w:ind w:left="-4"/>
      </w:pPr>
      <w:hyperlink r:id="rId348">
        <w:r>
          <w:rPr>
            <w:color w:val="467886"/>
            <w:u w:val="single" w:color="467886"/>
          </w:rPr>
          <w:t>Female genital mutilation: multi agency statutory guidance</w:t>
        </w:r>
      </w:hyperlink>
      <w:hyperlink r:id="rId349">
        <w:r>
          <w:t xml:space="preserve"> </w:t>
        </w:r>
      </w:hyperlink>
      <w:r>
        <w:t xml:space="preserve">– DfE, Department for Health, and Home Office  </w:t>
      </w:r>
    </w:p>
    <w:p w14:paraId="5D8F0131" w14:textId="77777777" w:rsidR="00A932C3" w:rsidRDefault="00324E68">
      <w:pPr>
        <w:ind w:left="-4" w:right="10"/>
      </w:pPr>
      <w:hyperlink r:id="rId350">
        <w:r>
          <w:rPr>
            <w:color w:val="467886"/>
            <w:u w:val="single" w:color="467886"/>
          </w:rPr>
          <w:t>Forced marriage</w:t>
        </w:r>
      </w:hyperlink>
      <w:hyperlink r:id="rId351">
        <w:r>
          <w:t xml:space="preserve"> </w:t>
        </w:r>
      </w:hyperlink>
      <w:r>
        <w:t xml:space="preserve">– Forced Marriage Unit (FMU) resources  </w:t>
      </w:r>
    </w:p>
    <w:p w14:paraId="522DA6EA" w14:textId="77777777" w:rsidR="00A932C3" w:rsidRDefault="00324E68">
      <w:pPr>
        <w:ind w:left="-4" w:right="10"/>
      </w:pPr>
      <w:hyperlink r:id="rId352">
        <w:r>
          <w:rPr>
            <w:color w:val="467886"/>
            <w:u w:val="single" w:color="467886"/>
          </w:rPr>
          <w:t>Forced marriage</w:t>
        </w:r>
      </w:hyperlink>
      <w:hyperlink r:id="rId353">
        <w:r>
          <w:t xml:space="preserve"> </w:t>
        </w:r>
      </w:hyperlink>
      <w:r>
        <w:t xml:space="preserve">– Government multi-agency practice guidelines and multi-agency statutory guidance  </w:t>
      </w:r>
    </w:p>
    <w:p w14:paraId="3C695159" w14:textId="77777777" w:rsidR="00A932C3" w:rsidRDefault="00324E68">
      <w:pPr>
        <w:spacing w:after="9"/>
        <w:ind w:left="-4" w:right="10"/>
      </w:pPr>
      <w:hyperlink r:id="rId354">
        <w:r>
          <w:rPr>
            <w:color w:val="467886"/>
            <w:u w:val="single" w:color="467886"/>
          </w:rPr>
          <w:t>FGM resource pack</w:t>
        </w:r>
      </w:hyperlink>
      <w:hyperlink r:id="rId355">
        <w:r>
          <w:t xml:space="preserve"> </w:t>
        </w:r>
      </w:hyperlink>
      <w:r>
        <w:t xml:space="preserve">– HM Government guidance </w:t>
      </w:r>
    </w:p>
    <w:p w14:paraId="2F62A437" w14:textId="77777777" w:rsidR="00A932C3" w:rsidRDefault="00324E68">
      <w:pPr>
        <w:spacing w:after="0" w:line="259" w:lineRule="auto"/>
        <w:ind w:left="1" w:firstLine="0"/>
      </w:pPr>
      <w:r>
        <w:t xml:space="preserve"> </w:t>
      </w:r>
    </w:p>
    <w:p w14:paraId="7642A67F" w14:textId="77777777" w:rsidR="00A932C3" w:rsidRDefault="00324E68">
      <w:pPr>
        <w:pStyle w:val="Heading3"/>
        <w:ind w:left="-4"/>
      </w:pPr>
      <w:r>
        <w:t>Health and well-being</w:t>
      </w:r>
      <w:r>
        <w:rPr>
          <w:color w:val="000000"/>
        </w:rPr>
        <w:t xml:space="preserve">  </w:t>
      </w:r>
    </w:p>
    <w:p w14:paraId="75FA5224" w14:textId="77777777" w:rsidR="00A932C3" w:rsidRDefault="00324E68">
      <w:pPr>
        <w:spacing w:after="158" w:line="259" w:lineRule="auto"/>
        <w:ind w:left="-4"/>
      </w:pPr>
      <w:hyperlink r:id="rId356">
        <w:r>
          <w:rPr>
            <w:color w:val="467886"/>
            <w:u w:val="single" w:color="467886"/>
          </w:rPr>
          <w:t>Rise Above: Free PSHE resources on health, wellbeing and resilience</w:t>
        </w:r>
      </w:hyperlink>
      <w:hyperlink r:id="rId357">
        <w:r>
          <w:t xml:space="preserve"> </w:t>
        </w:r>
      </w:hyperlink>
      <w:r>
        <w:t xml:space="preserve">– Public Health England  </w:t>
      </w:r>
    </w:p>
    <w:p w14:paraId="1F2E2099" w14:textId="77777777" w:rsidR="00A932C3" w:rsidRDefault="00324E68">
      <w:pPr>
        <w:spacing w:after="158" w:line="259" w:lineRule="auto"/>
        <w:ind w:left="-4"/>
      </w:pPr>
      <w:hyperlink r:id="rId358">
        <w:r>
          <w:rPr>
            <w:color w:val="467886"/>
            <w:u w:val="single" w:color="467886"/>
          </w:rPr>
          <w:t>Supporting pupils at schools with medical conditions</w:t>
        </w:r>
      </w:hyperlink>
      <w:hyperlink r:id="rId359">
        <w:r>
          <w:t xml:space="preserve"> </w:t>
        </w:r>
      </w:hyperlink>
      <w:r>
        <w:t xml:space="preserve">– DfE statutory guidance </w:t>
      </w:r>
      <w:hyperlink r:id="rId360">
        <w:r>
          <w:rPr>
            <w:color w:val="467886"/>
            <w:u w:val="single" w:color="467886"/>
          </w:rPr>
          <w:t>Mental health and</w:t>
        </w:r>
      </w:hyperlink>
      <w:hyperlink r:id="rId361">
        <w:r>
          <w:rPr>
            <w:color w:val="467886"/>
          </w:rPr>
          <w:t xml:space="preserve"> </w:t>
        </w:r>
      </w:hyperlink>
      <w:hyperlink r:id="rId362">
        <w:r>
          <w:rPr>
            <w:color w:val="467886"/>
            <w:u w:val="single" w:color="467886"/>
          </w:rPr>
          <w:t>behaviour in schools</w:t>
        </w:r>
      </w:hyperlink>
      <w:hyperlink r:id="rId363">
        <w:r>
          <w:t xml:space="preserve"> </w:t>
        </w:r>
      </w:hyperlink>
      <w:r>
        <w:t xml:space="preserve">– DfE advice  </w:t>
      </w:r>
    </w:p>
    <w:p w14:paraId="47A54840" w14:textId="77777777" w:rsidR="00A932C3" w:rsidRDefault="00324E68">
      <w:pPr>
        <w:spacing w:after="0" w:line="259" w:lineRule="auto"/>
        <w:ind w:left="-4"/>
      </w:pPr>
      <w:hyperlink r:id="rId364">
        <w:r>
          <w:rPr>
            <w:color w:val="467886"/>
            <w:u w:val="single" w:color="467886"/>
          </w:rPr>
          <w:t>Overview - Fabricated or induced illness</w:t>
        </w:r>
      </w:hyperlink>
      <w:hyperlink r:id="rId365">
        <w:r>
          <w:t xml:space="preserve"> </w:t>
        </w:r>
      </w:hyperlink>
      <w:r>
        <w:t xml:space="preserve">– NHS advice  </w:t>
      </w:r>
    </w:p>
    <w:p w14:paraId="2AD1A1B5" w14:textId="77777777" w:rsidR="00A932C3" w:rsidRDefault="00324E68">
      <w:pPr>
        <w:spacing w:after="1" w:line="259" w:lineRule="auto"/>
        <w:ind w:left="1" w:firstLine="0"/>
      </w:pPr>
      <w:r>
        <w:t xml:space="preserve"> </w:t>
      </w:r>
    </w:p>
    <w:p w14:paraId="47356A28" w14:textId="77777777" w:rsidR="00A932C3" w:rsidRDefault="00324E68">
      <w:pPr>
        <w:pStyle w:val="Heading3"/>
        <w:ind w:left="-4"/>
      </w:pPr>
      <w:r>
        <w:t xml:space="preserve">Homelessness </w:t>
      </w:r>
      <w:r>
        <w:rPr>
          <w:color w:val="000000"/>
        </w:rPr>
        <w:t xml:space="preserve"> </w:t>
      </w:r>
    </w:p>
    <w:p w14:paraId="67364C5B" w14:textId="77777777" w:rsidR="00A932C3" w:rsidRDefault="00324E68">
      <w:pPr>
        <w:spacing w:after="10"/>
        <w:ind w:left="-4" w:right="10"/>
      </w:pPr>
      <w:hyperlink r:id="rId366">
        <w:r>
          <w:rPr>
            <w:color w:val="467886"/>
            <w:u w:val="single" w:color="467886"/>
          </w:rPr>
          <w:t>Homelessness code of guidance for local authorities</w:t>
        </w:r>
      </w:hyperlink>
      <w:hyperlink r:id="rId367">
        <w:r>
          <w:t xml:space="preserve"> </w:t>
        </w:r>
      </w:hyperlink>
      <w:r>
        <w:t xml:space="preserve">- Ministry of Housing, Communities and Local Government guidance  </w:t>
      </w:r>
    </w:p>
    <w:p w14:paraId="291C385F" w14:textId="77777777" w:rsidR="00A932C3" w:rsidRDefault="00324E68">
      <w:pPr>
        <w:spacing w:after="0" w:line="259" w:lineRule="auto"/>
        <w:ind w:left="1" w:firstLine="0"/>
      </w:pPr>
      <w:r>
        <w:t xml:space="preserve"> </w:t>
      </w:r>
    </w:p>
    <w:p w14:paraId="3AAB4AE9" w14:textId="77777777" w:rsidR="00A932C3" w:rsidRDefault="00324E68">
      <w:pPr>
        <w:pStyle w:val="Heading3"/>
        <w:ind w:left="-4"/>
      </w:pPr>
      <w:r>
        <w:t>Information sharing</w:t>
      </w:r>
      <w:r>
        <w:rPr>
          <w:color w:val="000000"/>
        </w:rPr>
        <w:t xml:space="preserve">  </w:t>
      </w:r>
    </w:p>
    <w:p w14:paraId="5865A18A" w14:textId="77777777" w:rsidR="00A932C3" w:rsidRDefault="00324E68">
      <w:pPr>
        <w:ind w:left="-4" w:right="10"/>
      </w:pPr>
      <w:hyperlink r:id="rId368">
        <w:r>
          <w:rPr>
            <w:color w:val="467886"/>
            <w:u w:val="single" w:color="467886"/>
          </w:rPr>
          <w:t>Government information sharing advice</w:t>
        </w:r>
      </w:hyperlink>
      <w:hyperlink r:id="rId369">
        <w:r>
          <w:t xml:space="preserve"> </w:t>
        </w:r>
      </w:hyperlink>
      <w:r>
        <w:t xml:space="preserve">– Guidance on information sharing for people who provide safeguarding services to children, young people, parents and carers.  </w:t>
      </w:r>
    </w:p>
    <w:p w14:paraId="4DF2FD41" w14:textId="77777777" w:rsidR="00A932C3" w:rsidRDefault="00324E68">
      <w:pPr>
        <w:ind w:left="-4" w:right="10"/>
      </w:pPr>
      <w:hyperlink r:id="rId370">
        <w:r>
          <w:rPr>
            <w:color w:val="467886"/>
            <w:u w:val="single" w:color="467886"/>
          </w:rPr>
          <w:t>Information Commissioner's Office: Data sharing information hub</w:t>
        </w:r>
      </w:hyperlink>
      <w:hyperlink r:id="rId371">
        <w:r>
          <w:t xml:space="preserve"> </w:t>
        </w:r>
      </w:hyperlink>
      <w:r>
        <w:t xml:space="preserve">– Information to help schools and colleges comply with UK data protection legislation including UK GDPR.  </w:t>
      </w:r>
    </w:p>
    <w:p w14:paraId="7DEA8372" w14:textId="77777777" w:rsidR="00A932C3" w:rsidRDefault="00324E68">
      <w:pPr>
        <w:pStyle w:val="Heading3"/>
        <w:ind w:left="-4"/>
      </w:pPr>
      <w:r>
        <w:t xml:space="preserve">Online safety advice  </w:t>
      </w:r>
    </w:p>
    <w:p w14:paraId="28C1AEA4" w14:textId="77777777" w:rsidR="00A932C3" w:rsidRDefault="00324E68">
      <w:pPr>
        <w:ind w:left="-4" w:right="10"/>
      </w:pPr>
      <w:hyperlink r:id="rId372">
        <w:r>
          <w:rPr>
            <w:color w:val="467886"/>
            <w:u w:val="single" w:color="467886"/>
          </w:rPr>
          <w:t>Childnet</w:t>
        </w:r>
      </w:hyperlink>
      <w:hyperlink r:id="rId373">
        <w:r>
          <w:t xml:space="preserve"> </w:t>
        </w:r>
      </w:hyperlink>
      <w:r>
        <w:t xml:space="preserve">– Provides guidance for schools on cyberbullying  </w:t>
      </w:r>
    </w:p>
    <w:p w14:paraId="295597BB" w14:textId="77777777" w:rsidR="00A932C3" w:rsidRDefault="00324E68">
      <w:pPr>
        <w:spacing w:after="9"/>
        <w:ind w:left="-4" w:right="10"/>
      </w:pPr>
      <w:hyperlink r:id="rId374">
        <w:r>
          <w:rPr>
            <w:color w:val="467886"/>
            <w:u w:val="single" w:color="467886"/>
          </w:rPr>
          <w:t>Educateagainsthate</w:t>
        </w:r>
      </w:hyperlink>
      <w:hyperlink r:id="rId375">
        <w:r>
          <w:t xml:space="preserve"> </w:t>
        </w:r>
      </w:hyperlink>
      <w:r>
        <w:t xml:space="preserve">– Provides practical advice and support on protecting children from extremism and radicalisation  </w:t>
      </w:r>
    </w:p>
    <w:p w14:paraId="53AAA5B8" w14:textId="77777777" w:rsidR="00A932C3" w:rsidRDefault="00324E68">
      <w:pPr>
        <w:spacing w:after="0" w:line="259" w:lineRule="auto"/>
        <w:ind w:left="1" w:firstLine="0"/>
      </w:pPr>
      <w:r>
        <w:t xml:space="preserve"> </w:t>
      </w:r>
    </w:p>
    <w:p w14:paraId="54A453F1" w14:textId="77777777" w:rsidR="00A932C3" w:rsidRDefault="00324E68">
      <w:pPr>
        <w:ind w:left="-4" w:right="10"/>
      </w:pPr>
      <w:hyperlink r:id="rId376">
        <w:r>
          <w:rPr>
            <w:color w:val="467886"/>
            <w:u w:val="single" w:color="467886"/>
          </w:rPr>
          <w:t>London Grid for Learning</w:t>
        </w:r>
      </w:hyperlink>
      <w:hyperlink r:id="rId377">
        <w:r>
          <w:t xml:space="preserve"> </w:t>
        </w:r>
      </w:hyperlink>
      <w:r>
        <w:t xml:space="preserve">– Provides advice on all aspects of a school or college’s online safety arrangements  </w:t>
      </w:r>
    </w:p>
    <w:p w14:paraId="3F35250F" w14:textId="77777777" w:rsidR="00A932C3" w:rsidRDefault="00324E68">
      <w:pPr>
        <w:ind w:left="-4" w:right="10"/>
      </w:pPr>
      <w:hyperlink r:id="rId378">
        <w:r>
          <w:rPr>
            <w:color w:val="467886"/>
            <w:u w:val="single" w:color="467886"/>
          </w:rPr>
          <w:t>NSPCC E-safety for schools</w:t>
        </w:r>
      </w:hyperlink>
      <w:hyperlink r:id="rId379">
        <w:r>
          <w:t xml:space="preserve"> </w:t>
        </w:r>
      </w:hyperlink>
      <w:r>
        <w:t xml:space="preserve">– Provides advice, templates, and tools on all aspects of a school or college’s online safety arrangements  </w:t>
      </w:r>
    </w:p>
    <w:p w14:paraId="74DB887D" w14:textId="77777777" w:rsidR="00A932C3" w:rsidRDefault="00324E68">
      <w:pPr>
        <w:ind w:left="-4" w:right="10"/>
      </w:pPr>
      <w:hyperlink r:id="rId380">
        <w:r>
          <w:rPr>
            <w:color w:val="467886"/>
            <w:u w:val="single" w:color="467886"/>
          </w:rPr>
          <w:t>Safer recruitment consortium</w:t>
        </w:r>
      </w:hyperlink>
      <w:hyperlink r:id="rId381">
        <w:r>
          <w:t xml:space="preserve"> </w:t>
        </w:r>
      </w:hyperlink>
      <w:r>
        <w:t xml:space="preserve">– ‘Guidance for safe working practice’, which may help ensure staff behaviour policies are robust and effective  </w:t>
      </w:r>
    </w:p>
    <w:p w14:paraId="25100DA9" w14:textId="77777777" w:rsidR="00A932C3" w:rsidRDefault="00324E68">
      <w:pPr>
        <w:ind w:left="-4" w:right="10"/>
      </w:pPr>
      <w:hyperlink r:id="rId382">
        <w:r>
          <w:rPr>
            <w:color w:val="467886"/>
            <w:u w:val="single" w:color="467886"/>
          </w:rPr>
          <w:t>Searching screening and confiscation</w:t>
        </w:r>
      </w:hyperlink>
      <w:hyperlink r:id="rId383">
        <w:r>
          <w:t xml:space="preserve"> </w:t>
        </w:r>
      </w:hyperlink>
      <w:r>
        <w:t xml:space="preserve">– Departmental advice for schools on searching children and confiscating items such as mobile phones  </w:t>
      </w:r>
    </w:p>
    <w:p w14:paraId="73E8D5BF" w14:textId="77777777" w:rsidR="00A932C3" w:rsidRDefault="00324E68">
      <w:pPr>
        <w:ind w:left="-4" w:right="10"/>
      </w:pPr>
      <w:hyperlink r:id="rId384">
        <w:r>
          <w:rPr>
            <w:color w:val="467886"/>
            <w:u w:val="single" w:color="467886"/>
          </w:rPr>
          <w:t>South West Grid for Learning</w:t>
        </w:r>
      </w:hyperlink>
      <w:hyperlink r:id="rId385">
        <w:r>
          <w:t xml:space="preserve"> </w:t>
        </w:r>
      </w:hyperlink>
      <w:r>
        <w:t xml:space="preserve">– Provides advice on all aspects of a school or college’s online safety arrangements  </w:t>
      </w:r>
    </w:p>
    <w:p w14:paraId="465CF9EC" w14:textId="77777777" w:rsidR="00A932C3" w:rsidRDefault="00324E68">
      <w:pPr>
        <w:ind w:left="-4" w:right="10"/>
      </w:pPr>
      <w:hyperlink r:id="rId386">
        <w:r>
          <w:rPr>
            <w:color w:val="467886"/>
            <w:u w:val="single" w:color="467886"/>
          </w:rPr>
          <w:t>Online Safety Audit Tool</w:t>
        </w:r>
      </w:hyperlink>
      <w:hyperlink r:id="rId387">
        <w:r>
          <w:t xml:space="preserve"> </w:t>
        </w:r>
      </w:hyperlink>
      <w:r>
        <w:t xml:space="preserve">– From UK Council for Internet Safety to help mentors of trainee teachers and newly qualified teachers induct mentees and provide ongoing support, development and monitoring  </w:t>
      </w:r>
    </w:p>
    <w:p w14:paraId="77EC9E2F" w14:textId="77777777" w:rsidR="00A932C3" w:rsidRDefault="00324E68">
      <w:pPr>
        <w:spacing w:after="158" w:line="259" w:lineRule="auto"/>
        <w:ind w:left="-4"/>
      </w:pPr>
      <w:hyperlink r:id="rId388">
        <w:r>
          <w:rPr>
            <w:color w:val="467886"/>
            <w:u w:val="single" w:color="467886"/>
          </w:rPr>
          <w:t>Online safety guidance if you own or manage an online platform</w:t>
        </w:r>
      </w:hyperlink>
      <w:hyperlink r:id="rId389">
        <w:r>
          <w:t xml:space="preserve"> </w:t>
        </w:r>
      </w:hyperlink>
      <w:r>
        <w:t xml:space="preserve">– DCMS advice </w:t>
      </w:r>
      <w:hyperlink r:id="rId390">
        <w:r>
          <w:rPr>
            <w:color w:val="467886"/>
            <w:u w:val="single" w:color="467886"/>
          </w:rPr>
          <w:t>A business guide</w:t>
        </w:r>
      </w:hyperlink>
      <w:hyperlink r:id="rId391">
        <w:r>
          <w:rPr>
            <w:color w:val="467886"/>
          </w:rPr>
          <w:t xml:space="preserve"> </w:t>
        </w:r>
      </w:hyperlink>
      <w:hyperlink r:id="rId392">
        <w:r>
          <w:rPr>
            <w:color w:val="467886"/>
            <w:u w:val="single" w:color="467886"/>
          </w:rPr>
          <w:t>for protecting children on your online platform</w:t>
        </w:r>
      </w:hyperlink>
      <w:hyperlink r:id="rId393">
        <w:r>
          <w:t xml:space="preserve"> </w:t>
        </w:r>
      </w:hyperlink>
      <w:r>
        <w:t xml:space="preserve">– DCMS advice  </w:t>
      </w:r>
    </w:p>
    <w:p w14:paraId="4B7D6DE8" w14:textId="77777777" w:rsidR="00A932C3" w:rsidRDefault="00324E68">
      <w:pPr>
        <w:ind w:left="-4" w:right="10"/>
      </w:pPr>
      <w:hyperlink r:id="rId394">
        <w:r>
          <w:rPr>
            <w:color w:val="467886"/>
            <w:u w:val="single" w:color="467886"/>
          </w:rPr>
          <w:t>UK Safer Internet Centre</w:t>
        </w:r>
      </w:hyperlink>
      <w:hyperlink r:id="rId395">
        <w:r>
          <w:t xml:space="preserve"> </w:t>
        </w:r>
      </w:hyperlink>
      <w:r>
        <w:t xml:space="preserve">– Provides tips, advice, guides and other resources to help keep children safe online  </w:t>
      </w:r>
    </w:p>
    <w:p w14:paraId="25EE2870" w14:textId="77777777" w:rsidR="00A932C3" w:rsidRDefault="00324E68">
      <w:pPr>
        <w:ind w:left="-4" w:right="10"/>
      </w:pPr>
      <w:hyperlink r:id="rId396">
        <w:r>
          <w:rPr>
            <w:color w:val="467886"/>
            <w:u w:val="single" w:color="467886"/>
          </w:rPr>
          <w:t>Understanding and responding to AI-generated child sexual abuse material:</w:t>
        </w:r>
      </w:hyperlink>
      <w:hyperlink r:id="rId397">
        <w:r>
          <w:t xml:space="preserve"> </w:t>
        </w:r>
      </w:hyperlink>
      <w:r>
        <w:t xml:space="preserve">guidance from the National Crime Agency's CEOP Education programme in collaboration with the Internet Watch Foundation.  </w:t>
      </w:r>
    </w:p>
    <w:p w14:paraId="3C920B48" w14:textId="77777777" w:rsidR="00A932C3" w:rsidRDefault="00324E68">
      <w:pPr>
        <w:spacing w:after="9"/>
        <w:ind w:left="-4" w:right="10"/>
      </w:pPr>
      <w:hyperlink r:id="rId398">
        <w:r>
          <w:rPr>
            <w:color w:val="467886"/>
            <w:u w:val="single" w:color="467886"/>
          </w:rPr>
          <w:t>Financially motivated sexual extortion (FMSE)</w:t>
        </w:r>
      </w:hyperlink>
      <w:hyperlink r:id="rId399">
        <w:r>
          <w:t>:</w:t>
        </w:r>
      </w:hyperlink>
      <w:r>
        <w:t xml:space="preserve"> guidance for education settings on FMSE from the National Crime Agency's CEOP Education programme.  </w:t>
      </w:r>
    </w:p>
    <w:p w14:paraId="49C7A4A5" w14:textId="77777777" w:rsidR="00A932C3" w:rsidRDefault="00324E68">
      <w:pPr>
        <w:spacing w:after="0" w:line="259" w:lineRule="auto"/>
        <w:ind w:left="1" w:firstLine="0"/>
      </w:pPr>
      <w:r>
        <w:t xml:space="preserve"> </w:t>
      </w:r>
    </w:p>
    <w:p w14:paraId="0B041F78" w14:textId="77777777" w:rsidR="00A932C3" w:rsidRDefault="00324E68">
      <w:pPr>
        <w:pStyle w:val="Heading3"/>
        <w:ind w:left="-4"/>
      </w:pPr>
      <w:r>
        <w:t>Online safety relating to remote education, virtual lessons and live streaming</w:t>
      </w:r>
      <w:r>
        <w:rPr>
          <w:color w:val="000000"/>
        </w:rPr>
        <w:t xml:space="preserve">  </w:t>
      </w:r>
    </w:p>
    <w:p w14:paraId="3837E3AF" w14:textId="77777777" w:rsidR="00A932C3" w:rsidRDefault="00324E68">
      <w:pPr>
        <w:ind w:left="-4" w:right="10"/>
      </w:pPr>
      <w:hyperlink r:id="rId400">
        <w:r>
          <w:rPr>
            <w:color w:val="467886"/>
            <w:u w:val="single" w:color="467886"/>
          </w:rPr>
          <w:t>Guidance Get help with remote education</w:t>
        </w:r>
      </w:hyperlink>
      <w:hyperlink r:id="rId401">
        <w:r>
          <w:t xml:space="preserve"> </w:t>
        </w:r>
      </w:hyperlink>
      <w:r>
        <w:t xml:space="preserve">– Resources and support for teachers and school leaders on educating pupils and students  </w:t>
      </w:r>
    </w:p>
    <w:p w14:paraId="5326870A" w14:textId="77777777" w:rsidR="00A932C3" w:rsidRDefault="00324E68">
      <w:pPr>
        <w:ind w:left="-4" w:right="10"/>
      </w:pPr>
      <w:hyperlink r:id="rId402">
        <w:r>
          <w:rPr>
            <w:color w:val="467886"/>
            <w:u w:val="single" w:color="467886"/>
          </w:rPr>
          <w:t>Departmental guidance on safeguarding and remote education</w:t>
        </w:r>
      </w:hyperlink>
      <w:hyperlink r:id="rId403">
        <w:r>
          <w:t xml:space="preserve"> </w:t>
        </w:r>
      </w:hyperlink>
      <w:r>
        <w:t xml:space="preserve">– Including planning remote education strategies and teaching remotely  </w:t>
      </w:r>
    </w:p>
    <w:p w14:paraId="08177C01" w14:textId="77777777" w:rsidR="00A932C3" w:rsidRDefault="00324E68">
      <w:pPr>
        <w:ind w:left="-4" w:right="10"/>
      </w:pPr>
      <w:hyperlink r:id="rId404">
        <w:r>
          <w:rPr>
            <w:color w:val="467886"/>
            <w:u w:val="single" w:color="467886"/>
          </w:rPr>
          <w:t>London Grid for Learning</w:t>
        </w:r>
      </w:hyperlink>
      <w:hyperlink r:id="rId405">
        <w:r>
          <w:t xml:space="preserve"> </w:t>
        </w:r>
      </w:hyperlink>
      <w:r>
        <w:t xml:space="preserve">– Guidance, including platform-specific advice  </w:t>
      </w:r>
    </w:p>
    <w:p w14:paraId="07FCDF06" w14:textId="77777777" w:rsidR="00A932C3" w:rsidRDefault="00324E68">
      <w:pPr>
        <w:ind w:left="-4" w:right="10"/>
      </w:pPr>
      <w:hyperlink r:id="rId406">
        <w:r>
          <w:rPr>
            <w:color w:val="467886"/>
            <w:u w:val="single" w:color="467886"/>
          </w:rPr>
          <w:t>National Cyber Security Centre</w:t>
        </w:r>
      </w:hyperlink>
      <w:hyperlink r:id="rId407">
        <w:r>
          <w:t xml:space="preserve"> </w:t>
        </w:r>
      </w:hyperlink>
      <w:r>
        <w:t xml:space="preserve">– Guidance on choosing, configuring and deploying video conferencing  </w:t>
      </w:r>
    </w:p>
    <w:p w14:paraId="0B04A68D" w14:textId="77777777" w:rsidR="00A932C3" w:rsidRDefault="00324E68">
      <w:pPr>
        <w:spacing w:after="9"/>
        <w:ind w:left="-4" w:right="10"/>
      </w:pPr>
      <w:hyperlink r:id="rId408">
        <w:r>
          <w:rPr>
            <w:color w:val="467886"/>
            <w:u w:val="single" w:color="467886"/>
          </w:rPr>
          <w:t>UK Safer Internet Centre</w:t>
        </w:r>
      </w:hyperlink>
      <w:hyperlink r:id="rId409">
        <w:r>
          <w:t xml:space="preserve"> </w:t>
        </w:r>
      </w:hyperlink>
      <w:r>
        <w:t xml:space="preserve">– Guidance on safe remote learning  </w:t>
      </w:r>
    </w:p>
    <w:p w14:paraId="4C7619A2" w14:textId="77777777" w:rsidR="00A932C3" w:rsidRDefault="00324E68">
      <w:pPr>
        <w:spacing w:after="0" w:line="259" w:lineRule="auto"/>
        <w:ind w:left="1" w:firstLine="0"/>
      </w:pPr>
      <w:r>
        <w:t xml:space="preserve"> </w:t>
      </w:r>
    </w:p>
    <w:p w14:paraId="69C22E58" w14:textId="77777777" w:rsidR="00A932C3" w:rsidRDefault="00324E68">
      <w:pPr>
        <w:pStyle w:val="Heading3"/>
        <w:ind w:left="-4"/>
      </w:pPr>
      <w:r>
        <w:t>Online safety – support for children</w:t>
      </w:r>
      <w:r>
        <w:rPr>
          <w:color w:val="000000"/>
        </w:rPr>
        <w:t xml:space="preserve">  </w:t>
      </w:r>
    </w:p>
    <w:p w14:paraId="5978E5A5" w14:textId="77777777" w:rsidR="00A932C3" w:rsidRDefault="00324E68">
      <w:pPr>
        <w:spacing w:after="9"/>
        <w:ind w:left="-4" w:right="10"/>
      </w:pPr>
      <w:hyperlink r:id="rId410">
        <w:r>
          <w:rPr>
            <w:color w:val="467886"/>
            <w:u w:val="single" w:color="467886"/>
          </w:rPr>
          <w:t>Childline</w:t>
        </w:r>
      </w:hyperlink>
      <w:hyperlink r:id="rId411">
        <w:r>
          <w:t xml:space="preserve"> </w:t>
        </w:r>
      </w:hyperlink>
      <w:r>
        <w:t xml:space="preserve">– For free and confidential advice  </w:t>
      </w:r>
    </w:p>
    <w:p w14:paraId="0E0ED891" w14:textId="77777777" w:rsidR="00A932C3" w:rsidRDefault="00324E68">
      <w:pPr>
        <w:spacing w:after="0" w:line="259" w:lineRule="auto"/>
        <w:ind w:left="1" w:firstLine="0"/>
      </w:pPr>
      <w:r>
        <w:t xml:space="preserve"> </w:t>
      </w:r>
    </w:p>
    <w:p w14:paraId="6A96DC2F" w14:textId="77777777" w:rsidR="00A932C3" w:rsidRDefault="00324E68">
      <w:pPr>
        <w:spacing w:after="9"/>
        <w:ind w:left="-4" w:right="10"/>
      </w:pPr>
      <w:hyperlink r:id="rId412">
        <w:r>
          <w:rPr>
            <w:color w:val="467886"/>
            <w:u w:val="single" w:color="467886"/>
          </w:rPr>
          <w:t>UK Safer Internet Centre</w:t>
        </w:r>
      </w:hyperlink>
      <w:hyperlink r:id="rId413">
        <w:r>
          <w:t xml:space="preserve"> </w:t>
        </w:r>
      </w:hyperlink>
      <w:r>
        <w:t xml:space="preserve">– To report and remove harmful online content </w:t>
      </w:r>
    </w:p>
    <w:p w14:paraId="3889E90A" w14:textId="77777777" w:rsidR="00A932C3" w:rsidRDefault="00324E68">
      <w:pPr>
        <w:spacing w:after="0" w:line="259" w:lineRule="auto"/>
        <w:ind w:left="1" w:firstLine="0"/>
      </w:pPr>
      <w:r>
        <w:t xml:space="preserve"> </w:t>
      </w:r>
    </w:p>
    <w:p w14:paraId="1DBE090A" w14:textId="77777777" w:rsidR="00A932C3" w:rsidRDefault="00324E68">
      <w:pPr>
        <w:spacing w:after="10"/>
        <w:ind w:left="-4" w:right="10"/>
      </w:pPr>
      <w:hyperlink r:id="rId414">
        <w:r>
          <w:rPr>
            <w:color w:val="467886"/>
            <w:u w:val="single" w:color="467886"/>
          </w:rPr>
          <w:t>CEOP Safety Centre</w:t>
        </w:r>
      </w:hyperlink>
      <w:hyperlink r:id="rId415">
        <w:r>
          <w:t xml:space="preserve"> </w:t>
        </w:r>
      </w:hyperlink>
      <w:r>
        <w:t xml:space="preserve">– to report online child sexual abuse  </w:t>
      </w:r>
    </w:p>
    <w:p w14:paraId="1E6D8765" w14:textId="77777777" w:rsidR="00A932C3" w:rsidRDefault="00324E68">
      <w:pPr>
        <w:spacing w:after="0" w:line="259" w:lineRule="auto"/>
        <w:ind w:left="1" w:firstLine="0"/>
      </w:pPr>
      <w:r>
        <w:t xml:space="preserve"> </w:t>
      </w:r>
    </w:p>
    <w:p w14:paraId="6AF00175" w14:textId="77777777" w:rsidR="00A932C3" w:rsidRDefault="00324E68">
      <w:pPr>
        <w:pStyle w:val="Heading3"/>
        <w:ind w:left="-4"/>
      </w:pPr>
      <w:r>
        <w:t>Online safety - parental support</w:t>
      </w:r>
      <w:r>
        <w:rPr>
          <w:color w:val="000000"/>
        </w:rPr>
        <w:t xml:space="preserve">  </w:t>
      </w:r>
    </w:p>
    <w:p w14:paraId="1474E88E" w14:textId="77777777" w:rsidR="00A932C3" w:rsidRDefault="00324E68">
      <w:pPr>
        <w:ind w:left="-4" w:right="10"/>
      </w:pPr>
      <w:hyperlink r:id="rId416">
        <w:r>
          <w:rPr>
            <w:color w:val="467886"/>
            <w:u w:val="single" w:color="467886"/>
          </w:rPr>
          <w:t>Childnet</w:t>
        </w:r>
      </w:hyperlink>
      <w:hyperlink r:id="rId417">
        <w:r>
          <w:t xml:space="preserve"> </w:t>
        </w:r>
      </w:hyperlink>
      <w:r>
        <w:t xml:space="preserve">– Offers a toolkit to support parents and carers of children of any age to start discussions about their online life, and to find out where to get more help and support  </w:t>
      </w:r>
    </w:p>
    <w:p w14:paraId="640A5D96" w14:textId="77777777" w:rsidR="00A932C3" w:rsidRDefault="00324E68">
      <w:pPr>
        <w:ind w:left="-4" w:right="10"/>
      </w:pPr>
      <w:hyperlink r:id="rId418">
        <w:r>
          <w:rPr>
            <w:color w:val="467886"/>
            <w:u w:val="single" w:color="467886"/>
          </w:rPr>
          <w:t>Commonsensemedia</w:t>
        </w:r>
      </w:hyperlink>
      <w:hyperlink r:id="rId419">
        <w:r>
          <w:t xml:space="preserve"> </w:t>
        </w:r>
      </w:hyperlink>
      <w:r>
        <w:t xml:space="preserve">– Provides independent reviews, age ratings, &amp; other information about all types of media for children and their parents  </w:t>
      </w:r>
    </w:p>
    <w:p w14:paraId="7CB520B3" w14:textId="77777777" w:rsidR="00A932C3" w:rsidRDefault="00324E68">
      <w:pPr>
        <w:ind w:left="-4" w:right="10"/>
      </w:pPr>
      <w:hyperlink r:id="rId420">
        <w:r>
          <w:rPr>
            <w:color w:val="467886"/>
            <w:u w:val="single" w:color="467886"/>
          </w:rPr>
          <w:t>Government advice</w:t>
        </w:r>
      </w:hyperlink>
      <w:hyperlink r:id="rId421">
        <w:r>
          <w:t xml:space="preserve"> </w:t>
        </w:r>
      </w:hyperlink>
      <w:r>
        <w:t xml:space="preserve">– About protecting children from specific online harms such as child sexual abuse, sexting, and cyberbullying  </w:t>
      </w:r>
    </w:p>
    <w:p w14:paraId="4BB471BB" w14:textId="77777777" w:rsidR="00A932C3" w:rsidRDefault="00324E68">
      <w:pPr>
        <w:ind w:left="-4" w:right="10"/>
      </w:pPr>
      <w:hyperlink r:id="rId422">
        <w:r>
          <w:rPr>
            <w:color w:val="467886"/>
            <w:u w:val="single" w:color="467886"/>
          </w:rPr>
          <w:t>Help your child stay safe online - Kids Online Safety</w:t>
        </w:r>
      </w:hyperlink>
      <w:hyperlink r:id="rId423">
        <w:r>
          <w:t xml:space="preserve"> </w:t>
        </w:r>
      </w:hyperlink>
      <w:r>
        <w:t xml:space="preserve">– includes practical information from trusted places to help parents feel more confident on the steps they can take to protect their child online.  </w:t>
      </w:r>
    </w:p>
    <w:p w14:paraId="647BF2C4" w14:textId="77777777" w:rsidR="00A932C3" w:rsidRDefault="00324E68">
      <w:pPr>
        <w:ind w:left="-4" w:right="10"/>
      </w:pPr>
      <w:hyperlink r:id="rId424">
        <w:r>
          <w:rPr>
            <w:color w:val="467886"/>
            <w:u w:val="single" w:color="467886"/>
          </w:rPr>
          <w:t>Internet Matters</w:t>
        </w:r>
      </w:hyperlink>
      <w:hyperlink r:id="rId425">
        <w:r>
          <w:t xml:space="preserve"> </w:t>
        </w:r>
      </w:hyperlink>
      <w:r>
        <w:t xml:space="preserve">– Provides age-specific online safety checklists, guides on how to set parental controls, and practical tips to help children get the most out of their digital world  </w:t>
      </w:r>
    </w:p>
    <w:p w14:paraId="021D2F42" w14:textId="77777777" w:rsidR="00A932C3" w:rsidRDefault="00324E68">
      <w:pPr>
        <w:ind w:left="-4" w:right="10"/>
      </w:pPr>
      <w:hyperlink r:id="rId426">
        <w:r>
          <w:rPr>
            <w:color w:val="467886"/>
            <w:u w:val="single" w:color="467886"/>
          </w:rPr>
          <w:t>How Can I Help My Child?</w:t>
        </w:r>
      </w:hyperlink>
      <w:hyperlink r:id="rId427">
        <w:r>
          <w:rPr>
            <w:u w:val="single" w:color="467886"/>
          </w:rPr>
          <w:t xml:space="preserve"> </w:t>
        </w:r>
      </w:hyperlink>
      <w:r>
        <w:t xml:space="preserve"> – Marie Collins Foundation – Sexual abuse online  </w:t>
      </w:r>
    </w:p>
    <w:p w14:paraId="34AAB997" w14:textId="77777777" w:rsidR="00A932C3" w:rsidRDefault="00324E68">
      <w:pPr>
        <w:ind w:left="-4" w:right="10"/>
      </w:pPr>
      <w:hyperlink r:id="rId428">
        <w:r>
          <w:rPr>
            <w:color w:val="467886"/>
            <w:u w:val="single" w:color="467886"/>
          </w:rPr>
          <w:t>London Grid for Learning</w:t>
        </w:r>
      </w:hyperlink>
      <w:hyperlink r:id="rId429">
        <w:r>
          <w:t xml:space="preserve"> </w:t>
        </w:r>
      </w:hyperlink>
      <w:r>
        <w:t xml:space="preserve">– Provides support for parents and carers to keep their children safe online, including tips to keep primary aged children safe online  </w:t>
      </w:r>
    </w:p>
    <w:p w14:paraId="149E9BB2" w14:textId="77777777" w:rsidR="00A932C3" w:rsidRDefault="00324E68">
      <w:pPr>
        <w:ind w:left="-4" w:right="10"/>
      </w:pPr>
      <w:hyperlink r:id="rId430">
        <w:r>
          <w:rPr>
            <w:color w:val="467886"/>
            <w:u w:val="single" w:color="467886"/>
          </w:rPr>
          <w:t>Stopitnow</w:t>
        </w:r>
      </w:hyperlink>
      <w:hyperlink r:id="rId431">
        <w:r>
          <w:t xml:space="preserve"> </w:t>
        </w:r>
      </w:hyperlink>
      <w:r>
        <w:t xml:space="preserve">resource from </w:t>
      </w:r>
      <w:hyperlink r:id="rId432">
        <w:r>
          <w:rPr>
            <w:color w:val="467886"/>
            <w:u w:val="single" w:color="467886"/>
          </w:rPr>
          <w:t>The Lucy Faithfull Foundation</w:t>
        </w:r>
      </w:hyperlink>
      <w:hyperlink r:id="rId433">
        <w:r>
          <w:t xml:space="preserve"> </w:t>
        </w:r>
      </w:hyperlink>
      <w:r>
        <w:t xml:space="preserve">– Can be used by parents and carers who are concerned about someone’s behaviour, including children who may be displaying concerning sexual behaviour (not just about online)  </w:t>
      </w:r>
    </w:p>
    <w:p w14:paraId="23C7AADF" w14:textId="77777777" w:rsidR="00A932C3" w:rsidRDefault="00324E68">
      <w:pPr>
        <w:ind w:left="-4" w:right="10"/>
      </w:pPr>
      <w:hyperlink r:id="rId434">
        <w:r>
          <w:rPr>
            <w:color w:val="467886"/>
            <w:u w:val="single" w:color="467886"/>
          </w:rPr>
          <w:t>CEOP Education</w:t>
        </w:r>
      </w:hyperlink>
      <w:hyperlink r:id="rId435">
        <w:r>
          <w:t xml:space="preserve"> </w:t>
        </w:r>
      </w:hyperlink>
      <w:r>
        <w:t xml:space="preserve">– Provides information, guidance and resources for support for parents and carers, helping them to protect their child(ren) from online sexual abuse  </w:t>
      </w:r>
    </w:p>
    <w:p w14:paraId="3DF2F11F" w14:textId="77777777" w:rsidR="00A932C3" w:rsidRDefault="00324E68">
      <w:pPr>
        <w:ind w:left="-4" w:right="10"/>
      </w:pPr>
      <w:hyperlink r:id="rId436">
        <w:r>
          <w:rPr>
            <w:color w:val="467886"/>
            <w:u w:val="single" w:color="467886"/>
          </w:rPr>
          <w:t>Parentzone</w:t>
        </w:r>
      </w:hyperlink>
      <w:hyperlink r:id="rId437">
        <w:r>
          <w:t xml:space="preserve"> </w:t>
        </w:r>
      </w:hyperlink>
      <w:r>
        <w:t xml:space="preserve">– Provides help for parents and carers on how to keep their children safe online  </w:t>
      </w:r>
    </w:p>
    <w:p w14:paraId="2C191060" w14:textId="77777777" w:rsidR="00A932C3" w:rsidRDefault="00324E68">
      <w:pPr>
        <w:ind w:left="-4" w:right="10"/>
      </w:pPr>
      <w:hyperlink r:id="rId438">
        <w:r>
          <w:rPr>
            <w:color w:val="467886"/>
            <w:u w:val="single" w:color="467886"/>
          </w:rPr>
          <w:t>Talking to your child about online sexual harassment: A guide for parents</w:t>
        </w:r>
      </w:hyperlink>
      <w:hyperlink r:id="rId439">
        <w:r>
          <w:t xml:space="preserve"> </w:t>
        </w:r>
      </w:hyperlink>
      <w:r>
        <w:t xml:space="preserve">– This is the Children’s Commissioner’s parental guide on talking to their children about online sexual harassment  </w:t>
      </w:r>
    </w:p>
    <w:p w14:paraId="5895EBBF" w14:textId="77777777" w:rsidR="00A932C3" w:rsidRDefault="00324E68">
      <w:pPr>
        <w:spacing w:after="1" w:line="259" w:lineRule="auto"/>
        <w:ind w:left="-4"/>
      </w:pPr>
      <w:r>
        <w:t xml:space="preserve">2019 UK CMOSs’ advice - </w:t>
      </w:r>
      <w:hyperlink r:id="rId440">
        <w:r>
          <w:rPr>
            <w:color w:val="467886"/>
            <w:u w:val="single" w:color="467886"/>
          </w:rPr>
          <w:t>UK CMO commentary on screen time and social media map</w:t>
        </w:r>
      </w:hyperlink>
      <w:hyperlink r:id="rId441">
        <w:r>
          <w:t xml:space="preserve"> </w:t>
        </w:r>
      </w:hyperlink>
      <w:hyperlink r:id="rId442">
        <w:r>
          <w:rPr>
            <w:color w:val="467886"/>
            <w:u w:val="single" w:color="467886"/>
          </w:rPr>
          <w:t>of reviews -</w:t>
        </w:r>
      </w:hyperlink>
      <w:hyperlink r:id="rId443">
        <w:r>
          <w:rPr>
            <w:color w:val="467886"/>
          </w:rPr>
          <w:t xml:space="preserve"> </w:t>
        </w:r>
      </w:hyperlink>
      <w:hyperlink r:id="rId444">
        <w:r>
          <w:rPr>
            <w:color w:val="467886"/>
            <w:u w:val="single" w:color="467886"/>
          </w:rPr>
          <w:t>GOV.UK</w:t>
        </w:r>
      </w:hyperlink>
      <w:hyperlink r:id="rId445">
        <w:r>
          <w:t xml:space="preserve"> </w:t>
        </w:r>
      </w:hyperlink>
      <w:r>
        <w:t xml:space="preserve"> </w:t>
      </w:r>
    </w:p>
    <w:p w14:paraId="0A81D30F" w14:textId="77777777" w:rsidR="00A932C3" w:rsidRDefault="00324E68">
      <w:pPr>
        <w:spacing w:after="0" w:line="259" w:lineRule="auto"/>
        <w:ind w:left="1" w:firstLine="0"/>
      </w:pPr>
      <w:r>
        <w:t xml:space="preserve"> </w:t>
      </w:r>
    </w:p>
    <w:p w14:paraId="318AA3AB" w14:textId="77777777" w:rsidR="00A932C3" w:rsidRDefault="00324E68">
      <w:pPr>
        <w:spacing w:after="158" w:line="259" w:lineRule="auto"/>
        <w:ind w:left="-4"/>
      </w:pPr>
      <w:r>
        <w:rPr>
          <w:b/>
          <w:color w:val="0F4761"/>
        </w:rPr>
        <w:t>Private fostering</w:t>
      </w:r>
      <w:r>
        <w:rPr>
          <w:b/>
        </w:rPr>
        <w:t xml:space="preserve">  </w:t>
      </w:r>
    </w:p>
    <w:p w14:paraId="2EB599F5" w14:textId="77777777" w:rsidR="00A932C3" w:rsidRDefault="00324E68">
      <w:pPr>
        <w:spacing w:after="0" w:line="259" w:lineRule="auto"/>
        <w:ind w:left="-4"/>
      </w:pPr>
      <w:hyperlink r:id="rId446">
        <w:r>
          <w:rPr>
            <w:color w:val="467886"/>
            <w:u w:val="single" w:color="467886"/>
          </w:rPr>
          <w:t>Private fostering: local authorities</w:t>
        </w:r>
      </w:hyperlink>
      <w:hyperlink r:id="rId447">
        <w:r>
          <w:t xml:space="preserve"> </w:t>
        </w:r>
      </w:hyperlink>
      <w:r>
        <w:t xml:space="preserve">– DfE statutory guidance  </w:t>
      </w:r>
    </w:p>
    <w:p w14:paraId="07E026BF" w14:textId="77777777" w:rsidR="00A932C3" w:rsidRDefault="00324E68">
      <w:pPr>
        <w:spacing w:after="0" w:line="259" w:lineRule="auto"/>
        <w:ind w:left="1" w:firstLine="0"/>
      </w:pPr>
      <w:r>
        <w:t xml:space="preserve"> </w:t>
      </w:r>
    </w:p>
    <w:p w14:paraId="3D3B1F97" w14:textId="77777777" w:rsidR="00A932C3" w:rsidRDefault="00324E68">
      <w:pPr>
        <w:pStyle w:val="Heading3"/>
        <w:ind w:left="-4"/>
      </w:pPr>
      <w:r>
        <w:t xml:space="preserve">Radicalisation </w:t>
      </w:r>
      <w:r>
        <w:rPr>
          <w:color w:val="000000"/>
        </w:rPr>
        <w:t xml:space="preserve"> </w:t>
      </w:r>
    </w:p>
    <w:p w14:paraId="2037B228" w14:textId="77777777" w:rsidR="00A932C3" w:rsidRDefault="00324E68">
      <w:pPr>
        <w:ind w:left="-4" w:right="10"/>
      </w:pPr>
      <w:hyperlink r:id="rId448">
        <w:r>
          <w:rPr>
            <w:color w:val="467886"/>
            <w:u w:val="single" w:color="467886"/>
          </w:rPr>
          <w:t>Prevent duty guidance</w:t>
        </w:r>
      </w:hyperlink>
      <w:hyperlink r:id="rId449">
        <w:r>
          <w:t xml:space="preserve"> </w:t>
        </w:r>
      </w:hyperlink>
      <w:r>
        <w:t xml:space="preserve">– Home Office guidance  </w:t>
      </w:r>
    </w:p>
    <w:p w14:paraId="13BA7B41" w14:textId="77777777" w:rsidR="00A932C3" w:rsidRDefault="00324E68">
      <w:pPr>
        <w:spacing w:after="158" w:line="259" w:lineRule="auto"/>
        <w:ind w:left="-4"/>
      </w:pPr>
      <w:hyperlink r:id="rId450">
        <w:r>
          <w:rPr>
            <w:color w:val="467886"/>
            <w:u w:val="single" w:color="467886"/>
          </w:rPr>
          <w:t>The Prevent duty: safeguarding learners vulnerable to radicalisation</w:t>
        </w:r>
      </w:hyperlink>
      <w:hyperlink r:id="rId451">
        <w:r>
          <w:t xml:space="preserve"> </w:t>
        </w:r>
      </w:hyperlink>
      <w:r>
        <w:t xml:space="preserve">- DfE advice </w:t>
      </w:r>
      <w:hyperlink r:id="rId452">
        <w:r>
          <w:rPr>
            <w:color w:val="467886"/>
            <w:u w:val="single" w:color="467886"/>
          </w:rPr>
          <w:t>Educate Against</w:t>
        </w:r>
      </w:hyperlink>
      <w:hyperlink r:id="rId453">
        <w:r>
          <w:rPr>
            <w:color w:val="467886"/>
          </w:rPr>
          <w:t xml:space="preserve"> </w:t>
        </w:r>
      </w:hyperlink>
      <w:hyperlink r:id="rId454">
        <w:r>
          <w:rPr>
            <w:color w:val="467886"/>
            <w:u w:val="single" w:color="467886"/>
          </w:rPr>
          <w:t>Hate website</w:t>
        </w:r>
      </w:hyperlink>
      <w:hyperlink r:id="rId455">
        <w:r>
          <w:t xml:space="preserve"> </w:t>
        </w:r>
      </w:hyperlink>
      <w:r>
        <w:t xml:space="preserve">– DfE and Home Office guidance  </w:t>
      </w:r>
    </w:p>
    <w:p w14:paraId="74173477" w14:textId="77777777" w:rsidR="00A932C3" w:rsidRDefault="00324E68">
      <w:pPr>
        <w:ind w:left="-4" w:right="10"/>
      </w:pPr>
      <w:hyperlink r:id="rId456">
        <w:r>
          <w:rPr>
            <w:color w:val="467886"/>
            <w:u w:val="single" w:color="467886"/>
          </w:rPr>
          <w:t>Prevent for FE and Training</w:t>
        </w:r>
      </w:hyperlink>
      <w:hyperlink r:id="rId457">
        <w:r>
          <w:t xml:space="preserve"> </w:t>
        </w:r>
      </w:hyperlink>
      <w:r>
        <w:t xml:space="preserve">– Education and Training Foundation (ETF)  </w:t>
      </w:r>
    </w:p>
    <w:p w14:paraId="3944C0DA" w14:textId="77777777" w:rsidR="00A932C3" w:rsidRDefault="00324E68">
      <w:pPr>
        <w:spacing w:after="158" w:line="259" w:lineRule="auto"/>
        <w:ind w:left="-4"/>
      </w:pPr>
      <w:hyperlink r:id="rId458">
        <w:r>
          <w:rPr>
            <w:color w:val="467886"/>
            <w:u w:val="single" w:color="467886"/>
          </w:rPr>
          <w:t>Extremism and Radicalisation Safeguarding Resources</w:t>
        </w:r>
      </w:hyperlink>
      <w:hyperlink r:id="rId459">
        <w:r>
          <w:t xml:space="preserve"> </w:t>
        </w:r>
      </w:hyperlink>
      <w:r>
        <w:t xml:space="preserve">– Resources by London Grid for Learning  </w:t>
      </w:r>
    </w:p>
    <w:p w14:paraId="1DA73C58" w14:textId="77777777" w:rsidR="00A932C3" w:rsidRDefault="00324E68">
      <w:pPr>
        <w:spacing w:after="0" w:line="259" w:lineRule="auto"/>
        <w:ind w:left="-4"/>
      </w:pPr>
      <w:hyperlink r:id="rId460">
        <w:r>
          <w:rPr>
            <w:color w:val="467886"/>
            <w:u w:val="single" w:color="467886"/>
          </w:rPr>
          <w:t>Managing risk of radicalisation in your education setting</w:t>
        </w:r>
      </w:hyperlink>
      <w:hyperlink r:id="rId461">
        <w:r>
          <w:t xml:space="preserve"> </w:t>
        </w:r>
      </w:hyperlink>
      <w:r>
        <w:t xml:space="preserve">– DfE advice  </w:t>
      </w:r>
    </w:p>
    <w:p w14:paraId="33C2CAF2" w14:textId="77777777" w:rsidR="00A932C3" w:rsidRDefault="00324E68">
      <w:pPr>
        <w:spacing w:after="0" w:line="259" w:lineRule="auto"/>
        <w:ind w:left="1" w:firstLine="0"/>
      </w:pPr>
      <w:r>
        <w:t xml:space="preserve"> </w:t>
      </w:r>
    </w:p>
    <w:p w14:paraId="52F06A9F" w14:textId="77777777" w:rsidR="00A932C3" w:rsidRDefault="00324E68">
      <w:pPr>
        <w:pStyle w:val="Heading3"/>
        <w:ind w:left="-4"/>
      </w:pPr>
      <w:r>
        <w:t>Serious violence</w:t>
      </w:r>
      <w:r>
        <w:rPr>
          <w:color w:val="000000"/>
        </w:rPr>
        <w:t xml:space="preserve">  </w:t>
      </w:r>
    </w:p>
    <w:p w14:paraId="6C374541" w14:textId="77777777" w:rsidR="00A932C3" w:rsidRDefault="00324E68">
      <w:pPr>
        <w:spacing w:after="158" w:line="259" w:lineRule="auto"/>
        <w:ind w:left="-4"/>
      </w:pPr>
      <w:hyperlink r:id="rId462">
        <w:r>
          <w:rPr>
            <w:color w:val="467886"/>
            <w:u w:val="single" w:color="467886"/>
          </w:rPr>
          <w:t>Serious violence strategy</w:t>
        </w:r>
      </w:hyperlink>
      <w:hyperlink r:id="rId463">
        <w:r>
          <w:t xml:space="preserve"> </w:t>
        </w:r>
      </w:hyperlink>
      <w:r>
        <w:t xml:space="preserve">– Home Office strategy  </w:t>
      </w:r>
    </w:p>
    <w:p w14:paraId="1F68B33F" w14:textId="77777777" w:rsidR="00A932C3" w:rsidRDefault="00324E68">
      <w:pPr>
        <w:spacing w:after="158" w:line="259" w:lineRule="auto"/>
        <w:ind w:left="-4"/>
      </w:pPr>
      <w:hyperlink r:id="rId464">
        <w:r>
          <w:rPr>
            <w:color w:val="467886"/>
            <w:u w:val="single" w:color="467886"/>
          </w:rPr>
          <w:t>Factors linked to serious violence and how these factors can be used to identify</w:t>
        </w:r>
      </w:hyperlink>
      <w:hyperlink r:id="rId465">
        <w:r>
          <w:t xml:space="preserve"> </w:t>
        </w:r>
      </w:hyperlink>
      <w:hyperlink r:id="rId466">
        <w:r>
          <w:rPr>
            <w:color w:val="467886"/>
            <w:u w:val="single" w:color="467886"/>
          </w:rPr>
          <w:t>individuals for</w:t>
        </w:r>
      </w:hyperlink>
      <w:hyperlink r:id="rId467">
        <w:r>
          <w:rPr>
            <w:color w:val="467886"/>
          </w:rPr>
          <w:t xml:space="preserve"> </w:t>
        </w:r>
      </w:hyperlink>
      <w:hyperlink r:id="rId468">
        <w:r>
          <w:rPr>
            <w:color w:val="467886"/>
            <w:u w:val="single" w:color="467886"/>
          </w:rPr>
          <w:t>intervention</w:t>
        </w:r>
      </w:hyperlink>
      <w:hyperlink r:id="rId469">
        <w:r>
          <w:t xml:space="preserve"> </w:t>
        </w:r>
      </w:hyperlink>
      <w:r>
        <w:t xml:space="preserve">– Home Office  </w:t>
      </w:r>
    </w:p>
    <w:p w14:paraId="0EB12945" w14:textId="77777777" w:rsidR="00A932C3" w:rsidRDefault="00324E68">
      <w:pPr>
        <w:spacing w:after="158" w:line="259" w:lineRule="auto"/>
        <w:ind w:left="-4"/>
      </w:pPr>
      <w:hyperlink r:id="rId470">
        <w:r>
          <w:rPr>
            <w:color w:val="467886"/>
            <w:u w:val="single" w:color="467886"/>
          </w:rPr>
          <w:t>Youth Endowment Fund</w:t>
        </w:r>
      </w:hyperlink>
      <w:hyperlink r:id="rId471">
        <w:r>
          <w:t xml:space="preserve"> </w:t>
        </w:r>
      </w:hyperlink>
      <w:r>
        <w:t xml:space="preserve">– Home Office  </w:t>
      </w:r>
    </w:p>
    <w:p w14:paraId="3D88E414" w14:textId="77777777" w:rsidR="00A932C3" w:rsidRDefault="00324E68">
      <w:pPr>
        <w:spacing w:after="158" w:line="259" w:lineRule="auto"/>
        <w:ind w:left="-4"/>
      </w:pPr>
      <w:hyperlink r:id="rId472">
        <w:r>
          <w:rPr>
            <w:color w:val="467886"/>
            <w:u w:val="single" w:color="467886"/>
          </w:rPr>
          <w:t>Gangs and youth violence: for schools and colleges</w:t>
        </w:r>
      </w:hyperlink>
      <w:hyperlink r:id="rId473">
        <w:r>
          <w:t xml:space="preserve"> </w:t>
        </w:r>
      </w:hyperlink>
      <w:r>
        <w:t xml:space="preserve">– Home Office advice </w:t>
      </w:r>
      <w:hyperlink r:id="rId474">
        <w:r>
          <w:rPr>
            <w:color w:val="467886"/>
            <w:u w:val="single" w:color="467886"/>
          </w:rPr>
          <w:t>Tackling and girls</w:t>
        </w:r>
      </w:hyperlink>
      <w:hyperlink r:id="rId475">
        <w:r>
          <w:rPr>
            <w:color w:val="467886"/>
          </w:rPr>
          <w:t xml:space="preserve"> </w:t>
        </w:r>
      </w:hyperlink>
      <w:hyperlink r:id="rId476">
        <w:r>
          <w:rPr>
            <w:color w:val="467886"/>
            <w:u w:val="single" w:color="467886"/>
          </w:rPr>
          <w:t>strategy</w:t>
        </w:r>
      </w:hyperlink>
      <w:hyperlink r:id="rId477">
        <w:r>
          <w:t xml:space="preserve"> </w:t>
        </w:r>
      </w:hyperlink>
      <w:r>
        <w:t xml:space="preserve">– Home Office strategy  </w:t>
      </w:r>
    </w:p>
    <w:p w14:paraId="47A2ACF4" w14:textId="77777777" w:rsidR="00A932C3" w:rsidRDefault="00324E68">
      <w:pPr>
        <w:spacing w:after="0" w:line="259" w:lineRule="auto"/>
        <w:ind w:left="-4"/>
      </w:pPr>
      <w:hyperlink r:id="rId478">
        <w:r>
          <w:rPr>
            <w:color w:val="467886"/>
            <w:u w:val="single" w:color="467886"/>
          </w:rPr>
          <w:t>Violence against women and girls: national statement of expectations for victims</w:t>
        </w:r>
      </w:hyperlink>
      <w:hyperlink r:id="rId479">
        <w:r>
          <w:t xml:space="preserve"> </w:t>
        </w:r>
      </w:hyperlink>
      <w:r>
        <w:t xml:space="preserve">– Home Office guidance  </w:t>
      </w:r>
    </w:p>
    <w:p w14:paraId="46D1F6BD" w14:textId="77777777" w:rsidR="00A932C3" w:rsidRDefault="00324E68">
      <w:pPr>
        <w:spacing w:after="0" w:line="259" w:lineRule="auto"/>
        <w:ind w:left="1" w:firstLine="0"/>
      </w:pPr>
      <w:r>
        <w:t xml:space="preserve"> </w:t>
      </w:r>
    </w:p>
    <w:p w14:paraId="7FF3924A" w14:textId="77777777" w:rsidR="00A932C3" w:rsidRDefault="00324E68">
      <w:pPr>
        <w:spacing w:after="1" w:line="259" w:lineRule="auto"/>
        <w:ind w:left="-4"/>
      </w:pPr>
      <w:r>
        <w:rPr>
          <w:b/>
          <w:color w:val="0F4761"/>
        </w:rPr>
        <w:t xml:space="preserve">Sexual harassment and sexual violence  </w:t>
      </w:r>
    </w:p>
    <w:p w14:paraId="3E4014B9" w14:textId="77777777" w:rsidR="00A932C3" w:rsidRDefault="00324E68">
      <w:pPr>
        <w:spacing w:after="0" w:line="259" w:lineRule="auto"/>
        <w:ind w:left="1" w:firstLine="0"/>
      </w:pPr>
      <w:r>
        <w:rPr>
          <w:b/>
          <w:color w:val="0F4761"/>
        </w:rPr>
        <w:t xml:space="preserve"> </w:t>
      </w:r>
    </w:p>
    <w:p w14:paraId="3B67D027" w14:textId="77777777" w:rsidR="00A932C3" w:rsidRDefault="00324E68">
      <w:pPr>
        <w:pStyle w:val="Heading3"/>
        <w:ind w:left="-4"/>
      </w:pPr>
      <w:r>
        <w:t>Specialist organisations</w:t>
      </w:r>
      <w:r>
        <w:rPr>
          <w:color w:val="000000"/>
        </w:rPr>
        <w:t xml:space="preserve">  </w:t>
      </w:r>
    </w:p>
    <w:p w14:paraId="18A944EF" w14:textId="77777777" w:rsidR="00A932C3" w:rsidRDefault="00324E68">
      <w:pPr>
        <w:ind w:left="-4" w:right="10"/>
      </w:pPr>
      <w:hyperlink r:id="rId480">
        <w:r>
          <w:rPr>
            <w:color w:val="467886"/>
            <w:u w:val="single" w:color="467886"/>
          </w:rPr>
          <w:t>Barnardo's</w:t>
        </w:r>
      </w:hyperlink>
      <w:hyperlink r:id="rId481">
        <w:r>
          <w:t xml:space="preserve"> </w:t>
        </w:r>
      </w:hyperlink>
      <w:r>
        <w:t xml:space="preserve">– UK charity caring for and supporting some of the most vulnerable children and young people through their range of services.  </w:t>
      </w:r>
    </w:p>
    <w:p w14:paraId="30C6335B" w14:textId="77777777" w:rsidR="00A932C3" w:rsidRDefault="00324E68">
      <w:pPr>
        <w:ind w:left="-4" w:right="10"/>
      </w:pPr>
      <w:hyperlink r:id="rId482">
        <w:r>
          <w:rPr>
            <w:color w:val="467886"/>
            <w:u w:val="single" w:color="467886"/>
          </w:rPr>
          <w:t>Lucy Faithfull Foundation</w:t>
        </w:r>
      </w:hyperlink>
      <w:hyperlink r:id="rId483">
        <w:r>
          <w:t xml:space="preserve"> </w:t>
        </w:r>
      </w:hyperlink>
      <w:r>
        <w:t xml:space="preserve">– UK-wide child protection charity dedicated to preventing child sexual abuse. They work with families affected by sexual abuse and also run the confidential Stop it Now! Helpline.  </w:t>
      </w:r>
    </w:p>
    <w:p w14:paraId="3EACFC2E" w14:textId="77777777" w:rsidR="00A932C3" w:rsidRDefault="00324E68">
      <w:pPr>
        <w:ind w:left="-4" w:right="10"/>
      </w:pPr>
      <w:hyperlink r:id="rId484">
        <w:r>
          <w:rPr>
            <w:color w:val="467886"/>
            <w:u w:val="single" w:color="467886"/>
          </w:rPr>
          <w:t>Marie Collins Foundation</w:t>
        </w:r>
      </w:hyperlink>
      <w:hyperlink r:id="rId485">
        <w:r>
          <w:t xml:space="preserve"> </w:t>
        </w:r>
      </w:hyperlink>
      <w:r>
        <w:t xml:space="preserve">– Charity that, amongst other things, works directly with children, young people, and families to enable their recovery following sexual abuse.  </w:t>
      </w:r>
    </w:p>
    <w:p w14:paraId="0D534D8D" w14:textId="77777777" w:rsidR="00A932C3" w:rsidRDefault="00324E68">
      <w:pPr>
        <w:ind w:left="-4" w:right="10"/>
      </w:pPr>
      <w:hyperlink r:id="rId486">
        <w:r>
          <w:rPr>
            <w:color w:val="467886"/>
            <w:u w:val="single" w:color="467886"/>
          </w:rPr>
          <w:t>NSPCC</w:t>
        </w:r>
      </w:hyperlink>
      <w:hyperlink r:id="rId487">
        <w:r>
          <w:t xml:space="preserve"> </w:t>
        </w:r>
      </w:hyperlink>
      <w:r>
        <w:t xml:space="preserve">– Children's charity specialising in child protection with statutory powers enabling them to take action and safeguard children at risk of abuse.  </w:t>
      </w:r>
    </w:p>
    <w:p w14:paraId="4FD2CFB9" w14:textId="77777777" w:rsidR="00A932C3" w:rsidRDefault="00324E68">
      <w:pPr>
        <w:spacing w:after="10"/>
        <w:ind w:left="-4" w:right="10"/>
      </w:pPr>
      <w:hyperlink r:id="rId488">
        <w:r>
          <w:rPr>
            <w:color w:val="467886"/>
            <w:u w:val="single" w:color="467886"/>
          </w:rPr>
          <w:t>Rape Crisis</w:t>
        </w:r>
      </w:hyperlink>
      <w:hyperlink r:id="rId489">
        <w:r>
          <w:t xml:space="preserve"> </w:t>
        </w:r>
      </w:hyperlink>
      <w:r>
        <w:t xml:space="preserve">– National charity and the umbrella body for their network of independent member Rape Crisis Centres.  </w:t>
      </w:r>
    </w:p>
    <w:p w14:paraId="6577BA35" w14:textId="77777777" w:rsidR="00A932C3" w:rsidRDefault="00324E68">
      <w:pPr>
        <w:spacing w:after="21" w:line="259" w:lineRule="auto"/>
        <w:ind w:left="1" w:firstLine="0"/>
      </w:pPr>
      <w:r>
        <w:t xml:space="preserve"> </w:t>
      </w:r>
    </w:p>
    <w:p w14:paraId="3D2F6077" w14:textId="77777777" w:rsidR="00A932C3" w:rsidRDefault="00324E68">
      <w:pPr>
        <w:spacing w:after="16"/>
        <w:ind w:left="-4" w:right="10"/>
      </w:pPr>
      <w:hyperlink r:id="rId490">
        <w:r>
          <w:rPr>
            <w:color w:val="467886"/>
            <w:u w:val="single" w:color="467886"/>
          </w:rPr>
          <w:t>UK Safer Internet Centre</w:t>
        </w:r>
      </w:hyperlink>
      <w:hyperlink r:id="rId491">
        <w:r>
          <w:t xml:space="preserve"> </w:t>
        </w:r>
      </w:hyperlink>
      <w:r>
        <w:t xml:space="preserve">– Provides </w:t>
      </w:r>
      <w:hyperlink r:id="rId492">
        <w:r>
          <w:rPr>
            <w:color w:val="467886"/>
            <w:u w:val="single" w:color="467886"/>
          </w:rPr>
          <w:t>https://www.saferinternet.org.uk/advice-and</w:t>
        </w:r>
      </w:hyperlink>
      <w:hyperlink r:id="rId493">
        <w:r>
          <w:rPr>
            <w:color w:val="467886"/>
            <w:u w:val="single" w:color="467886"/>
          </w:rPr>
          <w:t>-resources</w:t>
        </w:r>
      </w:hyperlink>
      <w:hyperlink r:id="rId494">
        <w:r>
          <w:t xml:space="preserve"> </w:t>
        </w:r>
      </w:hyperlink>
      <w:r>
        <w:tab/>
        <w:t xml:space="preserve">to children, young people, parents, carers and schools about staying safe online.  </w:t>
      </w:r>
    </w:p>
    <w:p w14:paraId="5D948D92" w14:textId="77777777" w:rsidR="00A932C3" w:rsidRDefault="00324E68">
      <w:pPr>
        <w:spacing w:after="0" w:line="259" w:lineRule="auto"/>
        <w:ind w:left="1" w:firstLine="0"/>
      </w:pPr>
      <w:r>
        <w:t xml:space="preserve"> </w:t>
      </w:r>
    </w:p>
    <w:p w14:paraId="2707F9CD" w14:textId="77777777" w:rsidR="00A932C3" w:rsidRDefault="00324E68">
      <w:pPr>
        <w:pStyle w:val="Heading3"/>
        <w:ind w:left="-4"/>
      </w:pPr>
      <w:r>
        <w:t>Harmful sexual behaviour</w:t>
      </w:r>
      <w:r>
        <w:rPr>
          <w:color w:val="000000"/>
        </w:rPr>
        <w:t xml:space="preserve">  </w:t>
      </w:r>
    </w:p>
    <w:p w14:paraId="7806E631" w14:textId="77777777" w:rsidR="00A932C3" w:rsidRDefault="00324E68">
      <w:pPr>
        <w:ind w:left="-4" w:right="10"/>
      </w:pPr>
      <w:hyperlink r:id="rId495">
        <w:r>
          <w:rPr>
            <w:color w:val="467886"/>
            <w:u w:val="single" w:color="467886"/>
          </w:rPr>
          <w:t>Rape Crisis (England &amp; Wales)</w:t>
        </w:r>
      </w:hyperlink>
      <w:hyperlink r:id="rId496">
        <w:r>
          <w:t xml:space="preserve"> </w:t>
        </w:r>
      </w:hyperlink>
      <w:r>
        <w:t xml:space="preserve">or </w:t>
      </w:r>
      <w:hyperlink r:id="rId497">
        <w:r>
          <w:rPr>
            <w:color w:val="467886"/>
            <w:u w:val="single" w:color="467886"/>
          </w:rPr>
          <w:t>The Survivors Trust</w:t>
        </w:r>
      </w:hyperlink>
      <w:hyperlink r:id="rId498">
        <w:r>
          <w:rPr>
            <w:u w:val="single" w:color="467886"/>
          </w:rPr>
          <w:t xml:space="preserve"> </w:t>
        </w:r>
      </w:hyperlink>
      <w:r>
        <w:t xml:space="preserve"> – For information, advice, and details of local specialist sexual violence organisations.  </w:t>
      </w:r>
    </w:p>
    <w:p w14:paraId="3BB9D2E6" w14:textId="77777777" w:rsidR="00A932C3" w:rsidRDefault="00324E68">
      <w:pPr>
        <w:ind w:left="-4" w:right="10"/>
      </w:pPr>
      <w:hyperlink r:id="rId499">
        <w:r>
          <w:rPr>
            <w:color w:val="467886"/>
            <w:u w:val="single" w:color="467886"/>
          </w:rPr>
          <w:t>NICE guidance</w:t>
        </w:r>
      </w:hyperlink>
      <w:hyperlink r:id="rId500">
        <w:r>
          <w:t xml:space="preserve"> </w:t>
        </w:r>
      </w:hyperlink>
      <w:r>
        <w:t xml:space="preserve">– Contains information on, amongst other things: developing interventions; working with families and carers; and multi-agency working.  </w:t>
      </w:r>
    </w:p>
    <w:p w14:paraId="62DC8703" w14:textId="77777777" w:rsidR="00A932C3" w:rsidRDefault="00324E68">
      <w:pPr>
        <w:ind w:left="-4" w:right="10"/>
      </w:pPr>
      <w:hyperlink r:id="rId501">
        <w:r>
          <w:rPr>
            <w:color w:val="467886"/>
            <w:u w:val="single" w:color="467886"/>
          </w:rPr>
          <w:t>HSB toolkit</w:t>
        </w:r>
      </w:hyperlink>
      <w:hyperlink r:id="rId502">
        <w:r>
          <w:rPr>
            <w:u w:val="single" w:color="467886"/>
          </w:rPr>
          <w:t xml:space="preserve"> </w:t>
        </w:r>
      </w:hyperlink>
      <w:r>
        <w:t xml:space="preserve">– The Lucy Faithfull Foundation – designed for parents, carers, family members and professionals, to help everyone play their part in keeping children safe. It has links to useful information, resources, and support as well as practical tips to prevent harmful sexual behaviour and provide safe environments for families.  </w:t>
      </w:r>
    </w:p>
    <w:p w14:paraId="4134668A" w14:textId="77777777" w:rsidR="00A932C3" w:rsidRDefault="00324E68">
      <w:pPr>
        <w:ind w:left="-4" w:right="10"/>
      </w:pPr>
      <w:r>
        <w:t xml:space="preserve">The Lucy Faithfull Foundation also run </w:t>
      </w:r>
      <w:hyperlink r:id="rId503">
        <w:r>
          <w:rPr>
            <w:color w:val="467886"/>
            <w:u w:val="single" w:color="467886"/>
          </w:rPr>
          <w:t>shorespace.org.uk</w:t>
        </w:r>
      </w:hyperlink>
      <w:hyperlink r:id="rId504">
        <w:r>
          <w:t xml:space="preserve"> </w:t>
        </w:r>
      </w:hyperlink>
      <w:r>
        <w:t xml:space="preserve">which provides a safe and anonymous place for young people to get help and support to prevent harmful sexual behaviours.  </w:t>
      </w:r>
    </w:p>
    <w:p w14:paraId="124E9DEB" w14:textId="77777777" w:rsidR="00A932C3" w:rsidRDefault="00324E68">
      <w:pPr>
        <w:spacing w:after="158" w:line="259" w:lineRule="auto"/>
        <w:ind w:left="-4"/>
      </w:pPr>
      <w:hyperlink r:id="rId505">
        <w:r>
          <w:rPr>
            <w:color w:val="467886"/>
            <w:u w:val="single" w:color="467886"/>
          </w:rPr>
          <w:t>NSPCC Learning: Protecting children from harmful sexual behaviour</w:t>
        </w:r>
      </w:hyperlink>
      <w:hyperlink r:id="rId506">
        <w:r>
          <w:t xml:space="preserve"> </w:t>
        </w:r>
      </w:hyperlink>
      <w:r>
        <w:t xml:space="preserve">and </w:t>
      </w:r>
      <w:hyperlink r:id="rId507">
        <w:r>
          <w:rPr>
            <w:color w:val="467886"/>
            <w:u w:val="single" w:color="467886"/>
          </w:rPr>
          <w:t>NSPCC -</w:t>
        </w:r>
      </w:hyperlink>
      <w:hyperlink r:id="rId508">
        <w:r>
          <w:t xml:space="preserve"> </w:t>
        </w:r>
      </w:hyperlink>
      <w:hyperlink r:id="rId509">
        <w:r>
          <w:rPr>
            <w:color w:val="467886"/>
            <w:u w:val="single" w:color="467886"/>
          </w:rPr>
          <w:t>Harmful sexual</w:t>
        </w:r>
      </w:hyperlink>
      <w:hyperlink r:id="rId510">
        <w:r>
          <w:rPr>
            <w:color w:val="467886"/>
          </w:rPr>
          <w:t xml:space="preserve"> </w:t>
        </w:r>
      </w:hyperlink>
      <w:hyperlink r:id="rId511">
        <w:r>
          <w:rPr>
            <w:color w:val="467886"/>
            <w:u w:val="single" w:color="467886"/>
          </w:rPr>
          <w:t>behaviour framework</w:t>
        </w:r>
      </w:hyperlink>
      <w:hyperlink r:id="rId512">
        <w:r>
          <w:t xml:space="preserve"> </w:t>
        </w:r>
      </w:hyperlink>
      <w:r>
        <w:t xml:space="preserve">– Free and independent advice about HSB.  </w:t>
      </w:r>
    </w:p>
    <w:p w14:paraId="6D0CF56B" w14:textId="77777777" w:rsidR="00A932C3" w:rsidRDefault="00324E68">
      <w:pPr>
        <w:ind w:left="-4" w:right="10"/>
      </w:pPr>
      <w:hyperlink r:id="rId513">
        <w:r>
          <w:rPr>
            <w:color w:val="467886"/>
            <w:u w:val="single" w:color="467886"/>
          </w:rPr>
          <w:t>Contextual Safeguarding Network – Beyond Referrals (Schools)</w:t>
        </w:r>
      </w:hyperlink>
      <w:hyperlink r:id="rId514">
        <w:r>
          <w:t xml:space="preserve"> </w:t>
        </w:r>
      </w:hyperlink>
      <w:r>
        <w:t xml:space="preserve">– Provides a school selfassessment toolkit and guidance for addressing HSB in schools.  </w:t>
      </w:r>
    </w:p>
    <w:p w14:paraId="252FFACA" w14:textId="77777777" w:rsidR="00A932C3" w:rsidRDefault="00324E68">
      <w:pPr>
        <w:spacing w:after="9"/>
        <w:ind w:left="-4" w:right="10"/>
      </w:pPr>
      <w:hyperlink r:id="rId515">
        <w:r>
          <w:rPr>
            <w:color w:val="467886"/>
            <w:u w:val="single" w:color="467886"/>
          </w:rPr>
          <w:t>Preventing harmful sexual behaviour in children - Stop It Now</w:t>
        </w:r>
      </w:hyperlink>
      <w:hyperlink r:id="rId516">
        <w:r>
          <w:rPr>
            <w:u w:val="single" w:color="467886"/>
          </w:rPr>
          <w:t xml:space="preserve"> </w:t>
        </w:r>
      </w:hyperlink>
      <w:r>
        <w:t xml:space="preserve"> – Provides a guide for parents, carers and professionals to help everyone do their part in keeping children safe, they also run a free confidential helpline.  </w:t>
      </w:r>
    </w:p>
    <w:p w14:paraId="3CB4E708" w14:textId="77777777" w:rsidR="00A932C3" w:rsidRDefault="00324E68">
      <w:pPr>
        <w:spacing w:after="0" w:line="259" w:lineRule="auto"/>
        <w:ind w:left="1" w:firstLine="0"/>
      </w:pPr>
      <w:r>
        <w:t xml:space="preserve"> </w:t>
      </w:r>
    </w:p>
    <w:p w14:paraId="030FFAF9" w14:textId="77777777" w:rsidR="00A932C3" w:rsidRDefault="00324E68">
      <w:pPr>
        <w:pStyle w:val="Heading3"/>
        <w:ind w:left="-4"/>
      </w:pPr>
      <w:r>
        <w:t>Support for victims</w:t>
      </w:r>
      <w:r>
        <w:rPr>
          <w:color w:val="000000"/>
        </w:rPr>
        <w:t xml:space="preserve">  </w:t>
      </w:r>
    </w:p>
    <w:p w14:paraId="171BC680" w14:textId="77777777" w:rsidR="00A932C3" w:rsidRDefault="00324E68">
      <w:pPr>
        <w:ind w:left="-4" w:right="10"/>
      </w:pPr>
      <w:hyperlink r:id="rId517">
        <w:r>
          <w:rPr>
            <w:color w:val="467886"/>
            <w:u w:val="single" w:color="467886"/>
          </w:rPr>
          <w:t>Anti-Bullying Alliance</w:t>
        </w:r>
      </w:hyperlink>
      <w:hyperlink r:id="rId518">
        <w:r>
          <w:t xml:space="preserve"> </w:t>
        </w:r>
      </w:hyperlink>
      <w:r>
        <w:t xml:space="preserve">– Detailed information for anyone being bullied, along with advice for parents and schools. Signposts to various helplines and websites for further support.  </w:t>
      </w:r>
    </w:p>
    <w:p w14:paraId="1F9ADE24" w14:textId="77777777" w:rsidR="00A932C3" w:rsidRDefault="00324E68">
      <w:pPr>
        <w:ind w:left="-4" w:right="10"/>
      </w:pPr>
      <w:hyperlink r:id="rId519">
        <w:r>
          <w:rPr>
            <w:color w:val="467886"/>
            <w:u w:val="single" w:color="467886"/>
          </w:rPr>
          <w:t>Rape Crisis</w:t>
        </w:r>
      </w:hyperlink>
      <w:hyperlink r:id="rId520">
        <w:r>
          <w:t xml:space="preserve"> </w:t>
        </w:r>
      </w:hyperlink>
      <w:r>
        <w:t xml:space="preserve">– Provides and signposts to a range of services to support people who have experienced rape, child abuse or any kind of sexual violence.  </w:t>
      </w:r>
    </w:p>
    <w:p w14:paraId="1348DA0E" w14:textId="77777777" w:rsidR="00A932C3" w:rsidRDefault="00324E68">
      <w:pPr>
        <w:ind w:left="-4" w:right="10"/>
      </w:pPr>
      <w:hyperlink r:id="rId521">
        <w:r>
          <w:rPr>
            <w:color w:val="467886"/>
            <w:u w:val="single" w:color="467886"/>
          </w:rPr>
          <w:t>The Survivors Trust</w:t>
        </w:r>
      </w:hyperlink>
      <w:hyperlink r:id="rId522">
        <w:r>
          <w:t xml:space="preserve"> </w:t>
        </w:r>
      </w:hyperlink>
      <w:r>
        <w:t xml:space="preserve">– UK-wide national umbrella agency with resources and support dedicated to survivors of rape, sexual violence and child sex abuse.  </w:t>
      </w:r>
    </w:p>
    <w:p w14:paraId="6CE20FCB" w14:textId="77777777" w:rsidR="00A932C3" w:rsidRDefault="00324E68">
      <w:pPr>
        <w:ind w:left="-4" w:right="10"/>
      </w:pPr>
      <w:hyperlink r:id="rId523">
        <w:r>
          <w:rPr>
            <w:color w:val="467886"/>
            <w:u w:val="single" w:color="467886"/>
          </w:rPr>
          <w:t>Victim Support</w:t>
        </w:r>
      </w:hyperlink>
      <w:hyperlink r:id="rId524">
        <w:r>
          <w:t xml:space="preserve"> </w:t>
        </w:r>
      </w:hyperlink>
      <w:r>
        <w:t xml:space="preserve">– Supporting children and young people who have been affected by crime. Also provides support to parents and professionals who work with children and young people – regardless of whether a crime has been reported or how long ago it was.  </w:t>
      </w:r>
    </w:p>
    <w:p w14:paraId="3784CE3D" w14:textId="77777777" w:rsidR="00A932C3" w:rsidRDefault="00324E68">
      <w:pPr>
        <w:spacing w:after="9"/>
        <w:ind w:left="-4" w:right="10"/>
      </w:pPr>
      <w:hyperlink r:id="rId525">
        <w:r>
          <w:rPr>
            <w:color w:val="467886"/>
            <w:u w:val="single" w:color="467886"/>
          </w:rPr>
          <w:t>Childline</w:t>
        </w:r>
      </w:hyperlink>
      <w:hyperlink r:id="rId526">
        <w:r>
          <w:t xml:space="preserve"> </w:t>
        </w:r>
      </w:hyperlink>
      <w:r>
        <w:t xml:space="preserve">– Provides free and confidential advice for children and young people.  </w:t>
      </w:r>
    </w:p>
    <w:p w14:paraId="7CE8DEC9" w14:textId="77777777" w:rsidR="00A932C3" w:rsidRDefault="00324E68">
      <w:pPr>
        <w:spacing w:after="0" w:line="259" w:lineRule="auto"/>
        <w:ind w:left="1" w:firstLine="0"/>
      </w:pPr>
      <w:r>
        <w:t xml:space="preserve"> </w:t>
      </w:r>
    </w:p>
    <w:p w14:paraId="0CB7C30D" w14:textId="77777777" w:rsidR="00A932C3" w:rsidRDefault="00324E68">
      <w:pPr>
        <w:pStyle w:val="Heading3"/>
        <w:ind w:left="-4"/>
      </w:pPr>
      <w:r>
        <w:t xml:space="preserve">Toolkits </w:t>
      </w:r>
      <w:r>
        <w:rPr>
          <w:color w:val="000000"/>
        </w:rPr>
        <w:t xml:space="preserve"> </w:t>
      </w:r>
    </w:p>
    <w:p w14:paraId="00C29149" w14:textId="77777777" w:rsidR="00A932C3" w:rsidRDefault="00324E68">
      <w:pPr>
        <w:ind w:left="-4" w:right="10"/>
      </w:pPr>
      <w:hyperlink r:id="rId527">
        <w:r>
          <w:rPr>
            <w:color w:val="467886"/>
            <w:u w:val="single" w:color="467886"/>
          </w:rPr>
          <w:t>NSPCC</w:t>
        </w:r>
      </w:hyperlink>
      <w:hyperlink r:id="rId528">
        <w:r>
          <w:t xml:space="preserve"> </w:t>
        </w:r>
      </w:hyperlink>
      <w:r>
        <w:t xml:space="preserve">– Online Self-assessment tool to ensure organisations are doing everything they can to safeguard children.  </w:t>
      </w:r>
    </w:p>
    <w:p w14:paraId="434C3C8A" w14:textId="77777777" w:rsidR="00A932C3" w:rsidRDefault="00324E68">
      <w:pPr>
        <w:ind w:left="-4" w:right="10"/>
      </w:pPr>
      <w:hyperlink r:id="rId529">
        <w:r>
          <w:rPr>
            <w:color w:val="467886"/>
            <w:u w:val="single" w:color="467886"/>
          </w:rPr>
          <w:t>NSPCC</w:t>
        </w:r>
      </w:hyperlink>
      <w:hyperlink r:id="rId530">
        <w:r>
          <w:t xml:space="preserve"> </w:t>
        </w:r>
      </w:hyperlink>
      <w:r>
        <w:t xml:space="preserve">– Resources which help adults respond to children disclosing abuse.  </w:t>
      </w:r>
    </w:p>
    <w:p w14:paraId="5EBB5B9D" w14:textId="77777777" w:rsidR="00A932C3" w:rsidRDefault="00324E68">
      <w:pPr>
        <w:ind w:left="-4" w:right="10"/>
      </w:pPr>
      <w:r>
        <w:t xml:space="preserve">NSPCC also provide free and independent advice about HSB: </w:t>
      </w:r>
      <w:hyperlink r:id="rId531">
        <w:r>
          <w:rPr>
            <w:color w:val="467886"/>
            <w:u w:val="single" w:color="467886"/>
          </w:rPr>
          <w:t>NSPCC - Harmful sexual</w:t>
        </w:r>
      </w:hyperlink>
      <w:hyperlink r:id="rId532">
        <w:r>
          <w:t xml:space="preserve"> </w:t>
        </w:r>
      </w:hyperlink>
      <w:hyperlink r:id="rId533">
        <w:r>
          <w:rPr>
            <w:color w:val="467886"/>
            <w:u w:val="single" w:color="467886"/>
          </w:rPr>
          <w:t>behaviour</w:t>
        </w:r>
      </w:hyperlink>
      <w:hyperlink r:id="rId534">
        <w:r>
          <w:rPr>
            <w:color w:val="467886"/>
          </w:rPr>
          <w:t xml:space="preserve"> </w:t>
        </w:r>
      </w:hyperlink>
      <w:hyperlink r:id="rId535">
        <w:r>
          <w:rPr>
            <w:color w:val="467886"/>
            <w:u w:val="single" w:color="467886"/>
          </w:rPr>
          <w:t>framework</w:t>
        </w:r>
      </w:hyperlink>
      <w:hyperlink r:id="rId536">
        <w:r>
          <w:t xml:space="preserve"> </w:t>
        </w:r>
      </w:hyperlink>
      <w:r>
        <w:t xml:space="preserve"> </w:t>
      </w:r>
    </w:p>
    <w:p w14:paraId="54B68767" w14:textId="77777777" w:rsidR="00A932C3" w:rsidRDefault="00324E68">
      <w:pPr>
        <w:ind w:left="-4" w:right="10"/>
      </w:pPr>
      <w:hyperlink r:id="rId537">
        <w:r>
          <w:rPr>
            <w:color w:val="467886"/>
            <w:u w:val="single" w:color="467886"/>
          </w:rPr>
          <w:t>Safeguarding Unit, Farrer and Co. and Carlene Firmin, MBE, University of Bedfordshire</w:t>
        </w:r>
      </w:hyperlink>
      <w:hyperlink r:id="rId538">
        <w:r>
          <w:t xml:space="preserve"> </w:t>
        </w:r>
      </w:hyperlink>
      <w:r>
        <w:t xml:space="preserve">– Peer-onPeer Abuse toolkit provides practical guidance for schools on how to prevent, identify early and respond appropriately to peer-on-peer abuse.  </w:t>
      </w:r>
    </w:p>
    <w:p w14:paraId="79754D6F" w14:textId="77777777" w:rsidR="00A932C3" w:rsidRDefault="00324E68">
      <w:pPr>
        <w:ind w:left="-4" w:right="10"/>
      </w:pPr>
      <w:hyperlink r:id="rId539">
        <w:r>
          <w:rPr>
            <w:color w:val="467886"/>
            <w:u w:val="single" w:color="467886"/>
          </w:rPr>
          <w:t>Contextual Safeguarding Network</w:t>
        </w:r>
      </w:hyperlink>
      <w:hyperlink r:id="rId540">
        <w:r>
          <w:t xml:space="preserve"> </w:t>
        </w:r>
      </w:hyperlink>
      <w:r>
        <w:t xml:space="preserve">– Self-assessment toolkit for schools to assess their own response to HSB and levers for addressing HSB in schools.  </w:t>
      </w:r>
    </w:p>
    <w:p w14:paraId="2428A56B" w14:textId="77777777" w:rsidR="00A932C3" w:rsidRDefault="00324E68">
      <w:pPr>
        <w:ind w:left="-4" w:right="10"/>
      </w:pPr>
      <w:hyperlink r:id="rId541">
        <w:r>
          <w:rPr>
            <w:color w:val="467886"/>
            <w:u w:val="single" w:color="467886"/>
          </w:rPr>
          <w:t>Childnet - STAR SEND Toolkit</w:t>
        </w:r>
      </w:hyperlink>
      <w:hyperlink r:id="rId542">
        <w:r>
          <w:t xml:space="preserve"> </w:t>
        </w:r>
      </w:hyperlink>
      <w:r>
        <w:t xml:space="preserve">– Equips, enables and empowers educators with the knowledge to support young people with special educational needs and disabilities (SEND).  </w:t>
      </w:r>
    </w:p>
    <w:p w14:paraId="465ECAB8" w14:textId="77777777" w:rsidR="00A932C3" w:rsidRDefault="00324E68">
      <w:pPr>
        <w:ind w:left="-4" w:right="10"/>
      </w:pPr>
      <w:hyperlink r:id="rId543">
        <w:r>
          <w:rPr>
            <w:color w:val="467886"/>
            <w:u w:val="single" w:color="467886"/>
          </w:rPr>
          <w:t>Childnet - Just a joke?</w:t>
        </w:r>
      </w:hyperlink>
      <w:hyperlink r:id="rId544">
        <w:r>
          <w:t xml:space="preserve"> </w:t>
        </w:r>
      </w:hyperlink>
      <w:r>
        <w:t xml:space="preserve">– Provides lesson plans, activities, a quiz and teaching guide designed to explore problematic online sexual behaviour with 9–12-year-olds.  </w:t>
      </w:r>
    </w:p>
    <w:p w14:paraId="3D93CE4F" w14:textId="77777777" w:rsidR="00A932C3" w:rsidRDefault="00324E68">
      <w:pPr>
        <w:ind w:left="-4" w:right="10"/>
      </w:pPr>
      <w:hyperlink r:id="rId545">
        <w:r>
          <w:rPr>
            <w:color w:val="467886"/>
            <w:u w:val="single" w:color="467886"/>
          </w:rPr>
          <w:t>Childnet - Step Up, Speak Up</w:t>
        </w:r>
      </w:hyperlink>
      <w:hyperlink r:id="rId546">
        <w:r>
          <w:t xml:space="preserve"> </w:t>
        </w:r>
      </w:hyperlink>
      <w:r>
        <w:t xml:space="preserve">– A practical campaign toolkit that addresses the issue of online sexual harassment amongst young people aged 13-17 years old.  </w:t>
      </w:r>
    </w:p>
    <w:p w14:paraId="6A5E81E4" w14:textId="77777777" w:rsidR="00A932C3" w:rsidRDefault="00324E68">
      <w:pPr>
        <w:ind w:left="-4" w:right="10"/>
      </w:pPr>
      <w:hyperlink r:id="rId547">
        <w:r>
          <w:rPr>
            <w:color w:val="467886"/>
            <w:u w:val="single" w:color="467886"/>
          </w:rPr>
          <w:t>NSPCC - Harmful sexual behaviour framework</w:t>
        </w:r>
      </w:hyperlink>
      <w:hyperlink r:id="rId548">
        <w:r>
          <w:t xml:space="preserve"> </w:t>
        </w:r>
      </w:hyperlink>
      <w:r>
        <w:t xml:space="preserve">– An evidence-informed framework for children and young people displaying HSB.  </w:t>
      </w:r>
    </w:p>
    <w:p w14:paraId="46A9F5D3" w14:textId="77777777" w:rsidR="00A932C3" w:rsidRDefault="00324E68">
      <w:pPr>
        <w:spacing w:after="9"/>
        <w:ind w:left="-4" w:right="10"/>
      </w:pPr>
      <w:r>
        <w:t xml:space="preserve">Farrer &amp; Co: </w:t>
      </w:r>
      <w:hyperlink r:id="rId549">
        <w:r>
          <w:rPr>
            <w:color w:val="467886"/>
            <w:u w:val="single" w:color="467886"/>
          </w:rPr>
          <w:t>Addressing child on child abuse: a resource for schools and colleges</w:t>
        </w:r>
      </w:hyperlink>
      <w:hyperlink r:id="rId550">
        <w:r>
          <w:t xml:space="preserve"> </w:t>
        </w:r>
      </w:hyperlink>
      <w:r>
        <w:t xml:space="preserve">– This resource provides practical guidance for schools and colleges on how to prevent, identify early and respond appropriately to child-on-child abuse.  </w:t>
      </w:r>
    </w:p>
    <w:p w14:paraId="01486C02" w14:textId="77777777" w:rsidR="00A932C3" w:rsidRDefault="00324E68">
      <w:pPr>
        <w:spacing w:after="1" w:line="259" w:lineRule="auto"/>
        <w:ind w:left="1" w:firstLine="0"/>
      </w:pPr>
      <w:r>
        <w:t xml:space="preserve"> </w:t>
      </w:r>
    </w:p>
    <w:p w14:paraId="52643FB9" w14:textId="77777777" w:rsidR="00A932C3" w:rsidRDefault="00324E68">
      <w:pPr>
        <w:pStyle w:val="Heading3"/>
        <w:ind w:left="-4"/>
      </w:pPr>
      <w:r>
        <w:t>Sharing nudes and semi-nudes</w:t>
      </w:r>
      <w:r>
        <w:rPr>
          <w:color w:val="000000"/>
        </w:rPr>
        <w:t xml:space="preserve">  </w:t>
      </w:r>
    </w:p>
    <w:p w14:paraId="6AED827C" w14:textId="77777777" w:rsidR="00A932C3" w:rsidRDefault="00324E68">
      <w:pPr>
        <w:ind w:left="-4" w:right="10"/>
      </w:pPr>
      <w:hyperlink r:id="rId551">
        <w:r>
          <w:rPr>
            <w:color w:val="467886"/>
            <w:u w:val="single" w:color="467886"/>
          </w:rPr>
          <w:t>London Grid for Learning-collection of advice</w:t>
        </w:r>
      </w:hyperlink>
      <w:hyperlink r:id="rId552">
        <w:r>
          <w:t xml:space="preserve"> </w:t>
        </w:r>
      </w:hyperlink>
      <w:r>
        <w:t xml:space="preserve">– Various information and resources dealing with the sharing of nudes and semi-nudes.  </w:t>
      </w:r>
    </w:p>
    <w:p w14:paraId="34B3B207" w14:textId="77777777" w:rsidR="00A932C3" w:rsidRDefault="00324E68">
      <w:pPr>
        <w:ind w:left="-4" w:right="10"/>
      </w:pPr>
      <w:hyperlink r:id="rId553">
        <w:r>
          <w:rPr>
            <w:color w:val="467886"/>
            <w:u w:val="single" w:color="467886"/>
          </w:rPr>
          <w:t>UKCIS Sharing nudes and semi-nudes: advice for education settings working with</w:t>
        </w:r>
      </w:hyperlink>
      <w:hyperlink r:id="rId554">
        <w:r>
          <w:t xml:space="preserve"> </w:t>
        </w:r>
      </w:hyperlink>
      <w:hyperlink r:id="rId555">
        <w:r>
          <w:rPr>
            <w:color w:val="467886"/>
            <w:u w:val="single" w:color="467886"/>
          </w:rPr>
          <w:t>children and</w:t>
        </w:r>
      </w:hyperlink>
      <w:hyperlink r:id="rId556">
        <w:r>
          <w:rPr>
            <w:color w:val="467886"/>
          </w:rPr>
          <w:t xml:space="preserve"> </w:t>
        </w:r>
      </w:hyperlink>
      <w:hyperlink r:id="rId557">
        <w:r>
          <w:rPr>
            <w:color w:val="467886"/>
            <w:u w:val="single" w:color="467886"/>
          </w:rPr>
          <w:t>young people</w:t>
        </w:r>
      </w:hyperlink>
      <w:hyperlink r:id="rId558">
        <w:r>
          <w:t xml:space="preserve"> </w:t>
        </w:r>
      </w:hyperlink>
      <w:r>
        <w:t xml:space="preserve">– Advice for schools and colleges on responding to incidents of non-consensual making or sharing of nudes or semi-nudes.  </w:t>
      </w:r>
    </w:p>
    <w:p w14:paraId="6CC18E6E" w14:textId="77777777" w:rsidR="00A932C3" w:rsidRDefault="00324E68">
      <w:pPr>
        <w:pStyle w:val="Heading3"/>
        <w:ind w:left="-4"/>
      </w:pPr>
      <w:r>
        <w:t xml:space="preserve">Support for parents/carers  </w:t>
      </w:r>
    </w:p>
    <w:p w14:paraId="588214A2" w14:textId="77777777" w:rsidR="00A932C3" w:rsidRDefault="00324E68">
      <w:pPr>
        <w:ind w:left="-4" w:right="10"/>
      </w:pPr>
      <w:r>
        <w:t xml:space="preserve">National Crime Agency’s </w:t>
      </w:r>
      <w:hyperlink r:id="rId559">
        <w:r>
          <w:rPr>
            <w:color w:val="467886"/>
            <w:u w:val="single" w:color="467886"/>
          </w:rPr>
          <w:t>CEOP Education Programme</w:t>
        </w:r>
      </w:hyperlink>
      <w:hyperlink r:id="rId560">
        <w:r>
          <w:t xml:space="preserve"> </w:t>
        </w:r>
      </w:hyperlink>
      <w:r>
        <w:t xml:space="preserve">– Provides information for parents and carers to help protect their child from online child sexual abuse, including </w:t>
      </w:r>
      <w:hyperlink r:id="rId561">
        <w:r>
          <w:rPr>
            <w:color w:val="467886"/>
            <w:u w:val="single" w:color="467886"/>
          </w:rPr>
          <w:t>#AskTheAwkward - help</w:t>
        </w:r>
      </w:hyperlink>
      <w:hyperlink r:id="rId562">
        <w:r>
          <w:rPr>
            <w:color w:val="467886"/>
          </w:rPr>
          <w:t xml:space="preserve"> </w:t>
        </w:r>
      </w:hyperlink>
      <w:hyperlink r:id="rId563">
        <w:r>
          <w:rPr>
            <w:color w:val="467886"/>
            <w:u w:val="single" w:color="467886"/>
          </w:rPr>
          <w:t>to talk with your children about online relationships</w:t>
        </w:r>
      </w:hyperlink>
      <w:hyperlink r:id="rId564">
        <w:r>
          <w:t xml:space="preserve"> </w:t>
        </w:r>
      </w:hyperlink>
      <w:r>
        <w:t xml:space="preserve">– Guidance on how to talk to their children about online relationships  </w:t>
      </w:r>
    </w:p>
    <w:p w14:paraId="115E82AA" w14:textId="77777777" w:rsidR="00A932C3" w:rsidRDefault="00324E68">
      <w:pPr>
        <w:spacing w:after="160" w:line="259" w:lineRule="auto"/>
        <w:ind w:left="1" w:firstLine="0"/>
      </w:pPr>
      <w:r>
        <w:t xml:space="preserve"> </w:t>
      </w:r>
    </w:p>
    <w:p w14:paraId="71C7783D" w14:textId="77777777" w:rsidR="00A932C3" w:rsidRDefault="00324E68">
      <w:pPr>
        <w:spacing w:after="159" w:line="259" w:lineRule="auto"/>
        <w:ind w:left="1" w:firstLine="0"/>
      </w:pPr>
      <w:r>
        <w:t xml:space="preserve"> </w:t>
      </w:r>
    </w:p>
    <w:p w14:paraId="0C5CBD1D" w14:textId="77777777" w:rsidR="00A932C3" w:rsidRDefault="00324E68">
      <w:pPr>
        <w:spacing w:after="160" w:line="259" w:lineRule="auto"/>
        <w:ind w:left="1" w:firstLine="0"/>
      </w:pPr>
      <w:r>
        <w:t xml:space="preserve"> </w:t>
      </w:r>
    </w:p>
    <w:p w14:paraId="5CCFCC3D" w14:textId="77777777" w:rsidR="00A932C3" w:rsidRDefault="00324E68">
      <w:pPr>
        <w:spacing w:after="159" w:line="259" w:lineRule="auto"/>
        <w:ind w:left="1" w:firstLine="0"/>
      </w:pPr>
      <w:r>
        <w:t xml:space="preserve"> </w:t>
      </w:r>
    </w:p>
    <w:p w14:paraId="2ADB1DAC" w14:textId="77777777" w:rsidR="00A932C3" w:rsidRDefault="00324E68">
      <w:pPr>
        <w:spacing w:after="160" w:line="259" w:lineRule="auto"/>
        <w:ind w:left="1" w:firstLine="0"/>
      </w:pPr>
      <w:r>
        <w:t xml:space="preserve"> </w:t>
      </w:r>
    </w:p>
    <w:p w14:paraId="330E1D56" w14:textId="77777777" w:rsidR="00A932C3" w:rsidRDefault="00324E68">
      <w:pPr>
        <w:spacing w:after="159" w:line="259" w:lineRule="auto"/>
        <w:ind w:left="1" w:firstLine="0"/>
      </w:pPr>
      <w:r>
        <w:t xml:space="preserve"> </w:t>
      </w:r>
    </w:p>
    <w:p w14:paraId="3F883B84" w14:textId="77777777" w:rsidR="00A932C3" w:rsidRDefault="00324E68">
      <w:pPr>
        <w:spacing w:after="160" w:line="259" w:lineRule="auto"/>
        <w:ind w:left="1" w:firstLine="0"/>
      </w:pPr>
      <w:r>
        <w:t xml:space="preserve"> </w:t>
      </w:r>
    </w:p>
    <w:p w14:paraId="68601789" w14:textId="77777777" w:rsidR="00A932C3" w:rsidRDefault="00324E68">
      <w:pPr>
        <w:spacing w:after="160" w:line="259" w:lineRule="auto"/>
        <w:ind w:left="1" w:firstLine="0"/>
      </w:pPr>
      <w:r>
        <w:t xml:space="preserve"> </w:t>
      </w:r>
    </w:p>
    <w:p w14:paraId="4973C1C7" w14:textId="77777777" w:rsidR="00A932C3" w:rsidRDefault="00324E68">
      <w:pPr>
        <w:spacing w:after="159" w:line="259" w:lineRule="auto"/>
        <w:ind w:left="1" w:firstLine="0"/>
      </w:pPr>
      <w:r>
        <w:t xml:space="preserve"> </w:t>
      </w:r>
    </w:p>
    <w:p w14:paraId="78DDD56B" w14:textId="77777777" w:rsidR="00A932C3" w:rsidRDefault="00324E68">
      <w:pPr>
        <w:spacing w:after="160" w:line="259" w:lineRule="auto"/>
        <w:ind w:left="1" w:firstLine="0"/>
      </w:pPr>
      <w:r>
        <w:t xml:space="preserve"> </w:t>
      </w:r>
    </w:p>
    <w:p w14:paraId="715159D0" w14:textId="77777777" w:rsidR="00A932C3" w:rsidRDefault="00324E68">
      <w:pPr>
        <w:spacing w:after="159" w:line="259" w:lineRule="auto"/>
        <w:ind w:left="1" w:firstLine="0"/>
      </w:pPr>
      <w:r>
        <w:t xml:space="preserve"> </w:t>
      </w:r>
    </w:p>
    <w:p w14:paraId="58EF68C9" w14:textId="77777777" w:rsidR="00A932C3" w:rsidRDefault="00324E68">
      <w:pPr>
        <w:spacing w:after="160" w:line="259" w:lineRule="auto"/>
        <w:ind w:left="1" w:firstLine="0"/>
      </w:pPr>
      <w:r>
        <w:t xml:space="preserve"> </w:t>
      </w:r>
    </w:p>
    <w:p w14:paraId="7393DA55" w14:textId="77777777" w:rsidR="00A932C3" w:rsidRDefault="00324E68">
      <w:pPr>
        <w:spacing w:after="159" w:line="259" w:lineRule="auto"/>
        <w:ind w:left="1" w:firstLine="0"/>
      </w:pPr>
      <w:r>
        <w:t xml:space="preserve"> </w:t>
      </w:r>
    </w:p>
    <w:p w14:paraId="0A2BDDA0" w14:textId="77777777" w:rsidR="00A932C3" w:rsidRDefault="00324E68">
      <w:pPr>
        <w:spacing w:after="160" w:line="259" w:lineRule="auto"/>
        <w:ind w:left="1" w:firstLine="0"/>
      </w:pPr>
      <w:r>
        <w:t xml:space="preserve"> </w:t>
      </w:r>
    </w:p>
    <w:p w14:paraId="4FE20895" w14:textId="77777777" w:rsidR="00A932C3" w:rsidRDefault="00324E68">
      <w:pPr>
        <w:spacing w:after="159" w:line="259" w:lineRule="auto"/>
        <w:ind w:left="1" w:firstLine="0"/>
      </w:pPr>
      <w:r>
        <w:t xml:space="preserve"> </w:t>
      </w:r>
    </w:p>
    <w:p w14:paraId="2D702495" w14:textId="77777777" w:rsidR="00A932C3" w:rsidRDefault="00324E68">
      <w:pPr>
        <w:spacing w:after="160" w:line="259" w:lineRule="auto"/>
        <w:ind w:left="1" w:firstLine="0"/>
      </w:pPr>
      <w:r>
        <w:t xml:space="preserve"> </w:t>
      </w:r>
    </w:p>
    <w:p w14:paraId="4238238C" w14:textId="77777777" w:rsidR="00A932C3" w:rsidRDefault="00324E68">
      <w:pPr>
        <w:spacing w:after="159" w:line="259" w:lineRule="auto"/>
        <w:ind w:left="1" w:firstLine="0"/>
      </w:pPr>
      <w:r>
        <w:t xml:space="preserve"> </w:t>
      </w:r>
    </w:p>
    <w:p w14:paraId="7EB88D45" w14:textId="77777777" w:rsidR="00A932C3" w:rsidRDefault="00324E68">
      <w:pPr>
        <w:spacing w:after="160" w:line="259" w:lineRule="auto"/>
        <w:ind w:left="1" w:firstLine="0"/>
      </w:pPr>
      <w:r>
        <w:t xml:space="preserve"> </w:t>
      </w:r>
    </w:p>
    <w:p w14:paraId="091080FD" w14:textId="77777777" w:rsidR="00A932C3" w:rsidRDefault="00324E68">
      <w:pPr>
        <w:spacing w:after="0" w:line="259" w:lineRule="auto"/>
        <w:ind w:left="1" w:firstLine="0"/>
      </w:pPr>
      <w:r>
        <w:t xml:space="preserve"> </w:t>
      </w:r>
    </w:p>
    <w:p w14:paraId="59311332" w14:textId="77777777" w:rsidR="00A932C3" w:rsidRDefault="00324E68">
      <w:pPr>
        <w:spacing w:after="683" w:line="259" w:lineRule="auto"/>
        <w:ind w:left="13" w:firstLine="0"/>
      </w:pPr>
      <w:r>
        <w:rPr>
          <w:noProof/>
        </w:rPr>
        <w:drawing>
          <wp:inline distT="0" distB="0" distL="0" distR="0" wp14:anchorId="6AD8CD6C" wp14:editId="1A4D92DC">
            <wp:extent cx="1356360" cy="804672"/>
            <wp:effectExtent l="0" t="0" r="0" b="0"/>
            <wp:docPr id="56541" name="Picture 56541"/>
            <wp:cNvGraphicFramePr/>
            <a:graphic xmlns:a="http://schemas.openxmlformats.org/drawingml/2006/main">
              <a:graphicData uri="http://schemas.openxmlformats.org/drawingml/2006/picture">
                <pic:pic xmlns:pic="http://schemas.openxmlformats.org/drawingml/2006/picture">
                  <pic:nvPicPr>
                    <pic:cNvPr id="56541" name="Picture 56541"/>
                    <pic:cNvPicPr/>
                  </pic:nvPicPr>
                  <pic:blipFill>
                    <a:blip r:embed="rId565"/>
                    <a:stretch>
                      <a:fillRect/>
                    </a:stretch>
                  </pic:blipFill>
                  <pic:spPr>
                    <a:xfrm>
                      <a:off x="0" y="0"/>
                      <a:ext cx="1356360" cy="804672"/>
                    </a:xfrm>
                    <a:prstGeom prst="rect">
                      <a:avLst/>
                    </a:prstGeom>
                  </pic:spPr>
                </pic:pic>
              </a:graphicData>
            </a:graphic>
          </wp:inline>
        </w:drawing>
      </w:r>
    </w:p>
    <w:p w14:paraId="4ABA423A" w14:textId="77777777" w:rsidR="00A932C3" w:rsidRDefault="00324E68">
      <w:pPr>
        <w:spacing w:after="159" w:line="259" w:lineRule="auto"/>
        <w:ind w:left="1" w:firstLine="0"/>
      </w:pPr>
      <w:r>
        <w:t xml:space="preserve"> </w:t>
      </w:r>
    </w:p>
    <w:p w14:paraId="668B7579" w14:textId="77777777" w:rsidR="00A932C3" w:rsidRDefault="00324E68">
      <w:pPr>
        <w:spacing w:after="160" w:line="259" w:lineRule="auto"/>
        <w:ind w:left="1" w:firstLine="0"/>
      </w:pPr>
      <w:r>
        <w:t xml:space="preserve"> </w:t>
      </w:r>
    </w:p>
    <w:p w14:paraId="0F268AF6" w14:textId="77777777" w:rsidR="00A932C3" w:rsidRDefault="00324E68">
      <w:pPr>
        <w:spacing w:after="159" w:line="259" w:lineRule="auto"/>
        <w:ind w:left="1" w:firstLine="0"/>
      </w:pPr>
      <w:r>
        <w:t xml:space="preserve"> </w:t>
      </w:r>
    </w:p>
    <w:p w14:paraId="54ADB756" w14:textId="77777777" w:rsidR="00A932C3" w:rsidRDefault="00324E68">
      <w:pPr>
        <w:spacing w:after="160" w:line="259" w:lineRule="auto"/>
        <w:ind w:left="1" w:firstLine="0"/>
      </w:pPr>
      <w:r>
        <w:t xml:space="preserve"> </w:t>
      </w:r>
    </w:p>
    <w:p w14:paraId="275F5262" w14:textId="77777777" w:rsidR="00A932C3" w:rsidRDefault="00324E68">
      <w:pPr>
        <w:spacing w:after="159" w:line="259" w:lineRule="auto"/>
        <w:ind w:left="1" w:firstLine="0"/>
      </w:pPr>
      <w:r>
        <w:t xml:space="preserve"> </w:t>
      </w:r>
    </w:p>
    <w:p w14:paraId="0EE841E9" w14:textId="77777777" w:rsidR="00A932C3" w:rsidRDefault="00324E68">
      <w:pPr>
        <w:spacing w:after="160" w:line="259" w:lineRule="auto"/>
        <w:ind w:left="1" w:firstLine="0"/>
      </w:pPr>
      <w:r>
        <w:t xml:space="preserve"> </w:t>
      </w:r>
    </w:p>
    <w:p w14:paraId="7F3545FB" w14:textId="77777777" w:rsidR="00A932C3" w:rsidRDefault="00324E68">
      <w:pPr>
        <w:spacing w:after="159" w:line="259" w:lineRule="auto"/>
        <w:ind w:left="1" w:firstLine="0"/>
      </w:pPr>
      <w:r>
        <w:t xml:space="preserve"> </w:t>
      </w:r>
    </w:p>
    <w:p w14:paraId="39CAB32F" w14:textId="77777777" w:rsidR="00A932C3" w:rsidRDefault="00324E68">
      <w:pPr>
        <w:spacing w:after="160" w:line="259" w:lineRule="auto"/>
        <w:ind w:left="1" w:firstLine="0"/>
      </w:pPr>
      <w:r>
        <w:t xml:space="preserve"> </w:t>
      </w:r>
    </w:p>
    <w:p w14:paraId="3048D570" w14:textId="77777777" w:rsidR="00A932C3" w:rsidRDefault="00324E68">
      <w:pPr>
        <w:spacing w:after="159" w:line="259" w:lineRule="auto"/>
        <w:ind w:left="1" w:firstLine="0"/>
      </w:pPr>
      <w:r>
        <w:t xml:space="preserve"> </w:t>
      </w:r>
    </w:p>
    <w:p w14:paraId="7530E879" w14:textId="77777777" w:rsidR="00A932C3" w:rsidRDefault="00324E68">
      <w:pPr>
        <w:spacing w:after="160" w:line="259" w:lineRule="auto"/>
        <w:ind w:left="1" w:firstLine="0"/>
      </w:pPr>
      <w:r>
        <w:t xml:space="preserve"> </w:t>
      </w:r>
    </w:p>
    <w:p w14:paraId="70537266" w14:textId="77777777" w:rsidR="00A932C3" w:rsidRDefault="00324E68">
      <w:pPr>
        <w:spacing w:after="159" w:line="259" w:lineRule="auto"/>
        <w:ind w:left="1" w:firstLine="0"/>
      </w:pPr>
      <w:r>
        <w:t xml:space="preserve"> </w:t>
      </w:r>
    </w:p>
    <w:p w14:paraId="4C58AA6A" w14:textId="77777777" w:rsidR="00A932C3" w:rsidRDefault="00324E68">
      <w:pPr>
        <w:spacing w:after="160" w:line="259" w:lineRule="auto"/>
        <w:ind w:left="1" w:firstLine="0"/>
      </w:pPr>
      <w:r>
        <w:t xml:space="preserve"> </w:t>
      </w:r>
    </w:p>
    <w:p w14:paraId="008E8BFD" w14:textId="77777777" w:rsidR="00A932C3" w:rsidRDefault="00324E68">
      <w:pPr>
        <w:ind w:left="291" w:right="10"/>
      </w:pPr>
      <w:r>
        <w:t xml:space="preserve">© Crown copyright 2026 </w:t>
      </w:r>
    </w:p>
    <w:p w14:paraId="779D1677" w14:textId="77777777" w:rsidR="00A932C3" w:rsidRDefault="00324E68">
      <w:pPr>
        <w:spacing w:after="163" w:line="285" w:lineRule="auto"/>
        <w:ind w:left="278" w:right="1629" w:firstLine="0"/>
        <w:jc w:val="both"/>
      </w:pPr>
      <w:r>
        <w:t xml:space="preserve">This publication is licensed under the terms of the Open Government Licence v3.0, except where otherwise stated. To view this licence, visit </w:t>
      </w:r>
      <w:hyperlink r:id="rId566">
        <w:r>
          <w:rPr>
            <w:color w:val="0000FF"/>
            <w:u w:val="single" w:color="0000FF"/>
          </w:rPr>
          <w:t>nationalarchives.gov.uk/doc/open-government-licence/version/3</w:t>
        </w:r>
      </w:hyperlink>
      <w:hyperlink r:id="rId567">
        <w:r>
          <w:t>.</w:t>
        </w:r>
      </w:hyperlink>
      <w:r>
        <w:t xml:space="preserve"> </w:t>
      </w:r>
    </w:p>
    <w:p w14:paraId="6073BDDA" w14:textId="77777777" w:rsidR="00A932C3" w:rsidRDefault="00324E68">
      <w:pPr>
        <w:spacing w:after="160" w:line="259" w:lineRule="auto"/>
        <w:ind w:left="1" w:firstLine="0"/>
      </w:pPr>
      <w:r>
        <w:t xml:space="preserve"> </w:t>
      </w:r>
    </w:p>
    <w:p w14:paraId="53474BDB" w14:textId="77777777" w:rsidR="00A932C3" w:rsidRDefault="00324E68">
      <w:pPr>
        <w:spacing w:after="200"/>
        <w:ind w:left="291" w:right="94"/>
      </w:pPr>
      <w:r>
        <w:t xml:space="preserve">Where we have identified any third-party copyright information, you will need to obtain permission from the copyright holders concerned. </w:t>
      </w:r>
    </w:p>
    <w:p w14:paraId="7135ED78" w14:textId="77777777" w:rsidR="00A932C3" w:rsidRDefault="00324E68">
      <w:pPr>
        <w:spacing w:after="159" w:line="259" w:lineRule="auto"/>
        <w:ind w:left="1" w:firstLine="0"/>
      </w:pPr>
      <w:r>
        <w:t xml:space="preserve"> </w:t>
      </w:r>
    </w:p>
    <w:p w14:paraId="3CE3F76D" w14:textId="77777777" w:rsidR="00A932C3" w:rsidRDefault="00324E68">
      <w:pPr>
        <w:ind w:left="291" w:right="10"/>
      </w:pPr>
      <w:r>
        <w:t xml:space="preserve">About this publication: </w:t>
      </w:r>
    </w:p>
    <w:p w14:paraId="1097DA8E" w14:textId="77777777" w:rsidR="00A932C3" w:rsidRDefault="00324E68">
      <w:pPr>
        <w:spacing w:after="159" w:line="259" w:lineRule="auto"/>
        <w:ind w:left="1" w:firstLine="0"/>
      </w:pPr>
      <w:r>
        <w:t xml:space="preserve"> </w:t>
      </w:r>
    </w:p>
    <w:p w14:paraId="2CA837C7" w14:textId="77777777" w:rsidR="00A932C3" w:rsidRDefault="00324E68">
      <w:pPr>
        <w:spacing w:after="241" w:line="288" w:lineRule="auto"/>
        <w:ind w:left="564" w:right="4624" w:firstLine="0"/>
      </w:pPr>
      <w:r>
        <w:t xml:space="preserve">enquiries </w:t>
      </w:r>
      <w:hyperlink r:id="rId568">
        <w:r>
          <w:rPr>
            <w:color w:val="0000FF"/>
            <w:u w:val="single" w:color="0000FF"/>
          </w:rPr>
          <w:t>https://www.gov.uk/contact-dfe</w:t>
        </w:r>
      </w:hyperlink>
      <w:hyperlink r:id="rId569">
        <w:r>
          <w:rPr>
            <w:color w:val="0000FF"/>
          </w:rPr>
          <w:t xml:space="preserve"> </w:t>
        </w:r>
      </w:hyperlink>
      <w:r>
        <w:t xml:space="preserve">download </w:t>
      </w:r>
      <w:hyperlink r:id="rId570">
        <w:r>
          <w:rPr>
            <w:color w:val="0000FF"/>
            <w:u w:val="single" w:color="0000FF"/>
          </w:rPr>
          <w:t>www.gov.uk/government/publications</w:t>
        </w:r>
      </w:hyperlink>
      <w:hyperlink r:id="rId571">
        <w:r>
          <w:t xml:space="preserve"> </w:t>
        </w:r>
      </w:hyperlink>
    </w:p>
    <w:p w14:paraId="4C709DFE" w14:textId="77777777" w:rsidR="00A932C3" w:rsidRDefault="00324E68">
      <w:pPr>
        <w:ind w:left="291" w:right="10"/>
      </w:pPr>
      <w:r>
        <w:t xml:space="preserve">Follow us on X: </w:t>
      </w:r>
      <w:hyperlink r:id="rId572">
        <w:r>
          <w:rPr>
            <w:color w:val="0000FF"/>
            <w:u w:val="single" w:color="0000FF"/>
          </w:rPr>
          <w:t>@educationgovuk</w:t>
        </w:r>
      </w:hyperlink>
      <w:hyperlink r:id="rId573">
        <w:r>
          <w:t xml:space="preserve"> </w:t>
        </w:r>
      </w:hyperlink>
    </w:p>
    <w:p w14:paraId="1769E4CE" w14:textId="77777777" w:rsidR="00A932C3" w:rsidRDefault="00324E68">
      <w:pPr>
        <w:ind w:left="291" w:right="10"/>
      </w:pPr>
      <w:r>
        <w:t xml:space="preserve">Connect with us on Facebook: </w:t>
      </w:r>
      <w:hyperlink r:id="rId574">
        <w:r>
          <w:rPr>
            <w:color w:val="0000FF"/>
            <w:u w:val="single" w:color="0000FF"/>
          </w:rPr>
          <w:t>facebook.com/educationgovuk</w:t>
        </w:r>
      </w:hyperlink>
      <w:hyperlink r:id="rId575">
        <w:r>
          <w:t xml:space="preserve"> </w:t>
        </w:r>
      </w:hyperlink>
    </w:p>
    <w:p w14:paraId="547B69E8" w14:textId="77777777" w:rsidR="00A932C3" w:rsidRDefault="00324E68">
      <w:pPr>
        <w:spacing w:after="0" w:line="259" w:lineRule="auto"/>
        <w:ind w:left="1" w:firstLine="0"/>
      </w:pPr>
      <w:r>
        <w:t xml:space="preserve"> </w:t>
      </w:r>
    </w:p>
    <w:sectPr w:rsidR="00A932C3">
      <w:footerReference w:type="even" r:id="rId576"/>
      <w:footerReference w:type="default" r:id="rId577"/>
      <w:footerReference w:type="first" r:id="rId578"/>
      <w:pgSz w:w="11906" w:h="16838"/>
      <w:pgMar w:top="1138" w:right="426" w:bottom="1771" w:left="849" w:header="720" w:footer="3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A1898" w14:textId="77777777" w:rsidR="00324E68" w:rsidRDefault="00324E68">
      <w:pPr>
        <w:spacing w:after="0" w:line="240" w:lineRule="auto"/>
      </w:pPr>
      <w:r>
        <w:separator/>
      </w:r>
    </w:p>
  </w:endnote>
  <w:endnote w:type="continuationSeparator" w:id="0">
    <w:p w14:paraId="244A3774" w14:textId="77777777" w:rsidR="00324E68" w:rsidRDefault="00324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3B5B9" w14:textId="77777777" w:rsidR="00A932C3" w:rsidRDefault="00324E68">
    <w:pPr>
      <w:spacing w:after="958" w:line="259" w:lineRule="auto"/>
      <w:ind w:left="0" w:right="775" w:firstLine="0"/>
      <w:jc w:val="center"/>
    </w:pPr>
    <w:r>
      <w:fldChar w:fldCharType="begin"/>
    </w:r>
    <w:r>
      <w:instrText xml:space="preserve"> PAGE   \* MERGEFORMAT </w:instrText>
    </w:r>
    <w:r>
      <w:fldChar w:fldCharType="separate"/>
    </w:r>
    <w:r>
      <w:t>2</w:t>
    </w:r>
    <w:r>
      <w:fldChar w:fldCharType="end"/>
    </w:r>
    <w:r>
      <w:t xml:space="preserve"> </w:t>
    </w:r>
  </w:p>
  <w:p w14:paraId="009F5181" w14:textId="77777777" w:rsidR="00A932C3" w:rsidRDefault="00324E68">
    <w:pPr>
      <w:spacing w:after="0" w:line="259" w:lineRule="auto"/>
      <w:ind w:left="0" w:right="516" w:firstLine="0"/>
      <w:jc w:val="center"/>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45604" w14:textId="77777777" w:rsidR="00A932C3" w:rsidRDefault="00A932C3">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9B1E8" w14:textId="77777777" w:rsidR="00A932C3" w:rsidRDefault="00A932C3">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B0799" w14:textId="77777777" w:rsidR="00A932C3" w:rsidRDefault="00324E68">
    <w:pPr>
      <w:spacing w:after="462" w:line="259" w:lineRule="auto"/>
      <w:ind w:left="0" w:right="773" w:firstLine="0"/>
      <w:jc w:val="center"/>
    </w:pPr>
    <w:r>
      <w:fldChar w:fldCharType="begin"/>
    </w:r>
    <w:r>
      <w:instrText xml:space="preserve"> PAGE   \* MERGEFORMAT </w:instrText>
    </w:r>
    <w:r>
      <w:fldChar w:fldCharType="separate"/>
    </w:r>
    <w:r>
      <w:t>3</w:t>
    </w:r>
    <w:r>
      <w:fldChar w:fldCharType="end"/>
    </w:r>
    <w:r>
      <w:t xml:space="preserve"> </w:t>
    </w:r>
  </w:p>
  <w:p w14:paraId="0F3F3534" w14:textId="77777777" w:rsidR="00A932C3" w:rsidRDefault="00324E68">
    <w:pPr>
      <w:spacing w:after="336" w:line="259" w:lineRule="auto"/>
      <w:ind w:left="1" w:firstLine="0"/>
    </w:pPr>
    <w:r>
      <w:rPr>
        <w:sz w:val="12"/>
      </w:rPr>
      <w:t xml:space="preserve"> </w:t>
    </w:r>
  </w:p>
  <w:p w14:paraId="06E8BD59" w14:textId="77777777" w:rsidR="00A932C3" w:rsidRDefault="00324E68">
    <w:pPr>
      <w:spacing w:after="0" w:line="259" w:lineRule="auto"/>
      <w:ind w:left="0" w:right="528" w:firstLine="0"/>
      <w:jc w:val="center"/>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008A2" w14:textId="77777777" w:rsidR="00A932C3" w:rsidRDefault="00324E68">
    <w:pPr>
      <w:spacing w:after="462" w:line="259" w:lineRule="auto"/>
      <w:ind w:left="0" w:right="773" w:firstLine="0"/>
      <w:jc w:val="center"/>
    </w:pPr>
    <w:r>
      <w:fldChar w:fldCharType="begin"/>
    </w:r>
    <w:r>
      <w:instrText xml:space="preserve"> PAGE   \* MERGEFORMAT </w:instrText>
    </w:r>
    <w:r>
      <w:fldChar w:fldCharType="separate"/>
    </w:r>
    <w:r>
      <w:t>3</w:t>
    </w:r>
    <w:r>
      <w:fldChar w:fldCharType="end"/>
    </w:r>
    <w:r>
      <w:t xml:space="preserve"> </w:t>
    </w:r>
  </w:p>
  <w:p w14:paraId="17A7F2F7" w14:textId="77777777" w:rsidR="00A932C3" w:rsidRDefault="00324E68">
    <w:pPr>
      <w:spacing w:after="336" w:line="259" w:lineRule="auto"/>
      <w:ind w:left="1" w:firstLine="0"/>
    </w:pPr>
    <w:r>
      <w:rPr>
        <w:sz w:val="12"/>
      </w:rPr>
      <w:t xml:space="preserve"> </w:t>
    </w:r>
  </w:p>
  <w:p w14:paraId="2120A57B" w14:textId="77777777" w:rsidR="00A932C3" w:rsidRDefault="00324E68">
    <w:pPr>
      <w:spacing w:after="0" w:line="259" w:lineRule="auto"/>
      <w:ind w:left="0" w:right="528" w:firstLine="0"/>
      <w:jc w:val="center"/>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FD441" w14:textId="77777777" w:rsidR="00A932C3" w:rsidRDefault="00324E68">
    <w:pPr>
      <w:spacing w:after="462" w:line="259" w:lineRule="auto"/>
      <w:ind w:left="0" w:right="773" w:firstLine="0"/>
      <w:jc w:val="center"/>
    </w:pPr>
    <w:r>
      <w:fldChar w:fldCharType="begin"/>
    </w:r>
    <w:r>
      <w:instrText xml:space="preserve"> PAGE   \* MERGEFORMAT </w:instrText>
    </w:r>
    <w:r>
      <w:fldChar w:fldCharType="separate"/>
    </w:r>
    <w:r>
      <w:t>3</w:t>
    </w:r>
    <w:r>
      <w:fldChar w:fldCharType="end"/>
    </w:r>
    <w:r>
      <w:t xml:space="preserve"> </w:t>
    </w:r>
  </w:p>
  <w:p w14:paraId="106EA559" w14:textId="77777777" w:rsidR="00A932C3" w:rsidRDefault="00324E68">
    <w:pPr>
      <w:spacing w:after="336" w:line="259" w:lineRule="auto"/>
      <w:ind w:left="1" w:firstLine="0"/>
    </w:pPr>
    <w:r>
      <w:rPr>
        <w:sz w:val="12"/>
      </w:rPr>
      <w:t xml:space="preserve"> </w:t>
    </w:r>
  </w:p>
  <w:p w14:paraId="7FC9F1BD" w14:textId="77777777" w:rsidR="00A932C3" w:rsidRDefault="00324E68">
    <w:pPr>
      <w:spacing w:after="0" w:line="259" w:lineRule="auto"/>
      <w:ind w:left="0" w:right="528" w:firstLine="0"/>
      <w:jc w:val="center"/>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ED37F" w14:textId="77777777" w:rsidR="00A932C3" w:rsidRDefault="00324E68">
      <w:pPr>
        <w:spacing w:after="159" w:line="259" w:lineRule="auto"/>
        <w:ind w:left="1" w:firstLine="0"/>
      </w:pPr>
      <w:r>
        <w:separator/>
      </w:r>
    </w:p>
  </w:footnote>
  <w:footnote w:type="continuationSeparator" w:id="0">
    <w:p w14:paraId="063744AC" w14:textId="77777777" w:rsidR="00A932C3" w:rsidRDefault="00324E68">
      <w:pPr>
        <w:spacing w:after="159" w:line="259" w:lineRule="auto"/>
        <w:ind w:left="1" w:firstLine="0"/>
      </w:pPr>
      <w:r>
        <w:continuationSeparator/>
      </w:r>
    </w:p>
  </w:footnote>
  <w:footnote w:id="1">
    <w:p w14:paraId="7E9ED0FA" w14:textId="77777777" w:rsidR="00A932C3" w:rsidRDefault="00324E68">
      <w:pPr>
        <w:pStyle w:val="footnotedescription"/>
        <w:spacing w:after="159"/>
      </w:pPr>
      <w:r>
        <w:rPr>
          <w:rStyle w:val="footnotemark"/>
        </w:rPr>
        <w:footnoteRef/>
      </w:r>
      <w:r>
        <w:t xml:space="preserve"> Detailed information on Family Help can be found in </w:t>
      </w:r>
      <w:hyperlink r:id="rId1">
        <w:r>
          <w:rPr>
            <w:color w:val="467886"/>
            <w:u w:val="single" w:color="467886"/>
          </w:rPr>
          <w:t>Working Together to Safeguard Children</w:t>
        </w:r>
      </w:hyperlink>
      <w:hyperlink r:id="rId2">
        <w:r>
          <w:t>.</w:t>
        </w:r>
      </w:hyperlink>
      <w:r>
        <w:t xml:space="preserve"> </w:t>
      </w:r>
    </w:p>
  </w:footnote>
  <w:footnote w:id="2">
    <w:p w14:paraId="2DC40467" w14:textId="77777777" w:rsidR="00A932C3" w:rsidRDefault="00324E68">
      <w:pPr>
        <w:pStyle w:val="footnotedescription"/>
        <w:spacing w:after="162"/>
      </w:pPr>
      <w:r>
        <w:rPr>
          <w:rStyle w:val="footnotemark"/>
        </w:rPr>
        <w:footnoteRef/>
      </w:r>
      <w:r>
        <w:t xml:space="preserve"> </w:t>
      </w:r>
      <w:hyperlink r:id="rId3">
        <w:r>
          <w:rPr>
            <w:color w:val="467886"/>
            <w:u w:val="single" w:color="467886"/>
          </w:rPr>
          <w:t>Teachers' standards</w:t>
        </w:r>
      </w:hyperlink>
      <w:hyperlink r:id="rId4">
        <w:r>
          <w:t>.</w:t>
        </w:r>
      </w:hyperlink>
      <w:r>
        <w:t xml:space="preserve"> </w:t>
      </w:r>
    </w:p>
  </w:footnote>
  <w:footnote w:id="3">
    <w:p w14:paraId="53E9A761" w14:textId="77777777" w:rsidR="00A932C3" w:rsidRDefault="00324E68">
      <w:pPr>
        <w:pStyle w:val="footnotedescription"/>
        <w:spacing w:after="0" w:line="253" w:lineRule="auto"/>
      </w:pPr>
      <w:r>
        <w:rPr>
          <w:rStyle w:val="footnotemark"/>
        </w:rPr>
        <w:footnoteRef/>
      </w:r>
      <w:r>
        <w:t xml:space="preserve"> All schools are required to have a behaviour policy (full details are </w:t>
      </w:r>
      <w:hyperlink r:id="rId5">
        <w:r>
          <w:rPr>
            <w:color w:val="467886"/>
            <w:u w:val="single" w:color="467886"/>
          </w:rPr>
          <w:t>here</w:t>
        </w:r>
      </w:hyperlink>
      <w:hyperlink r:id="rId6">
        <w:r>
          <w:t>)</w:t>
        </w:r>
      </w:hyperlink>
      <w:r>
        <w:t xml:space="preserve">. If a college chooses to have a behaviour policy, it should be provided to staff as described above. </w:t>
      </w:r>
    </w:p>
  </w:footnote>
  <w:footnote w:id="4">
    <w:p w14:paraId="45C70469" w14:textId="77777777" w:rsidR="00A932C3" w:rsidRDefault="00324E68">
      <w:pPr>
        <w:pStyle w:val="footnotedescription"/>
        <w:spacing w:after="178"/>
      </w:pPr>
      <w:r>
        <w:rPr>
          <w:rStyle w:val="footnotemark"/>
        </w:rPr>
        <w:footnoteRef/>
      </w:r>
      <w:r>
        <w:t xml:space="preserve"> For further information about sexual violence see Part five. </w:t>
      </w:r>
    </w:p>
  </w:footnote>
  <w:footnote w:id="5">
    <w:p w14:paraId="7F01179E" w14:textId="77777777" w:rsidR="00A932C3" w:rsidRDefault="00324E68">
      <w:pPr>
        <w:pStyle w:val="footnotedescription"/>
        <w:spacing w:after="199"/>
      </w:pPr>
      <w:r>
        <w:rPr>
          <w:rStyle w:val="footnotemark"/>
        </w:rPr>
        <w:footnoteRef/>
      </w:r>
      <w:r>
        <w:t xml:space="preserve"> For further information about sexual harassment see Part five. </w:t>
      </w:r>
    </w:p>
  </w:footnote>
  <w:footnote w:id="6">
    <w:p w14:paraId="67F402AE" w14:textId="77777777" w:rsidR="00A932C3" w:rsidRDefault="00324E68">
      <w:pPr>
        <w:pStyle w:val="footnotedescription"/>
        <w:spacing w:after="158"/>
      </w:pPr>
      <w:r>
        <w:rPr>
          <w:rStyle w:val="footnotemark"/>
        </w:rPr>
        <w:footnoteRef/>
      </w:r>
      <w:r>
        <w:t xml:space="preserve"> UKCIS guidance: </w:t>
      </w:r>
      <w:hyperlink r:id="rId7">
        <w:r>
          <w:rPr>
            <w:color w:val="0000FF"/>
            <w:u w:val="single" w:color="0000FF"/>
          </w:rPr>
          <w:t>Sharing nudes and semi-nudes advice for education settings</w:t>
        </w:r>
      </w:hyperlink>
      <w:hyperlink r:id="rId8">
        <w:r>
          <w:t xml:space="preserve"> </w:t>
        </w:r>
      </w:hyperlink>
    </w:p>
  </w:footnote>
  <w:footnote w:id="7">
    <w:p w14:paraId="1717B7D6" w14:textId="77777777" w:rsidR="00A932C3" w:rsidRDefault="00324E68">
      <w:pPr>
        <w:pStyle w:val="footnotedescription"/>
        <w:spacing w:after="0"/>
      </w:pPr>
      <w:r>
        <w:rPr>
          <w:rStyle w:val="footnotemark"/>
        </w:rPr>
        <w:footnoteRef/>
      </w:r>
      <w:r>
        <w:t xml:space="preserve"> For further information about ‘upskirting’ see the Annex. </w:t>
      </w:r>
    </w:p>
  </w:footnote>
  <w:footnote w:id="8">
    <w:p w14:paraId="03F4526E" w14:textId="77777777" w:rsidR="00A932C3" w:rsidRDefault="00324E68">
      <w:pPr>
        <w:pStyle w:val="footnotedescription"/>
        <w:spacing w:after="158"/>
      </w:pPr>
      <w:r>
        <w:rPr>
          <w:rStyle w:val="footnotemark"/>
        </w:rPr>
        <w:footnoteRef/>
      </w:r>
      <w:r>
        <w:t xml:space="preserve"> See information on CCE definition on page 48 of </w:t>
      </w:r>
      <w:hyperlink r:id="rId9">
        <w:r>
          <w:rPr>
            <w:color w:val="467886"/>
            <w:u w:val="single" w:color="467886"/>
          </w:rPr>
          <w:t>Home Office's Serious Violence Strategy</w:t>
        </w:r>
      </w:hyperlink>
      <w:hyperlink r:id="rId10">
        <w:r>
          <w:t xml:space="preserve"> </w:t>
        </w:r>
      </w:hyperlink>
    </w:p>
  </w:footnote>
  <w:footnote w:id="9">
    <w:p w14:paraId="4F0AF697" w14:textId="77777777" w:rsidR="00A932C3" w:rsidRDefault="00324E68">
      <w:pPr>
        <w:pStyle w:val="footnotedescription"/>
        <w:spacing w:after="0" w:line="277" w:lineRule="auto"/>
        <w:ind w:firstLine="1"/>
      </w:pPr>
      <w:r>
        <w:rPr>
          <w:rStyle w:val="footnotemark"/>
        </w:rPr>
        <w:footnoteRef/>
      </w:r>
      <w:r>
        <w:t xml:space="preserve"> County lines is a term used to describe gangs and organised criminal networks involved in exporting illegal drugs using dedicated mobile phone lines or other form of “deal line”. Links to the Home Office’s County Lines advice is provided within the serious violence information on page 171 of KCSIE. </w:t>
      </w:r>
    </w:p>
  </w:footnote>
  <w:footnote w:id="10">
    <w:p w14:paraId="72A2D445" w14:textId="77777777" w:rsidR="00A932C3" w:rsidRDefault="00324E68">
      <w:pPr>
        <w:pStyle w:val="footnotedescription"/>
        <w:spacing w:after="0" w:line="268" w:lineRule="auto"/>
        <w:ind w:left="0" w:firstLine="1"/>
      </w:pPr>
      <w:r>
        <w:rPr>
          <w:rStyle w:val="footnotemark"/>
        </w:rPr>
        <w:footnoteRef/>
      </w:r>
      <w:r>
        <w:t xml:space="preserve"> The Independent Inquiry into Child Sexual Abuse: An organised network is characterised by two or more individuals (whether identified or not) who are known to (or associated with) one another and are known to be involved in or to facilitate the sexual exploitation of children. Being involved in the sexual exploitation of children includes introducing them to other individuals for the purpose of exploitation, trafficking a child for the purpose of sexual exploitation, taking payment for sexual activities wi</w:t>
      </w:r>
      <w:r>
        <w:t xml:space="preserve">th a child or allowing their property to be used for sexual activities with a child. </w:t>
      </w:r>
    </w:p>
  </w:footnote>
  <w:footnote w:id="11">
    <w:p w14:paraId="6BB65DF7" w14:textId="77777777" w:rsidR="00A932C3" w:rsidRDefault="00324E68">
      <w:pPr>
        <w:pStyle w:val="footnotedescription"/>
        <w:spacing w:after="0" w:line="277" w:lineRule="auto"/>
      </w:pPr>
      <w:r>
        <w:rPr>
          <w:rStyle w:val="footnotemark"/>
        </w:rPr>
        <w:footnoteRef/>
      </w:r>
      <w:r>
        <w:t xml:space="preserve"> Under section 5B(11) (a) of the Female Genital Mutilation Act 2003, “teacher” means, in relation to England, a person within section 141A(1) of the Education Act 2002 (persons employed or engaged to carry out teaching work at schools and other institutions in England). </w:t>
      </w:r>
    </w:p>
  </w:footnote>
  <w:footnote w:id="12">
    <w:p w14:paraId="4E3FB328" w14:textId="77777777" w:rsidR="00A932C3" w:rsidRDefault="00324E68">
      <w:pPr>
        <w:pStyle w:val="footnotedescription"/>
        <w:spacing w:after="130" w:line="295" w:lineRule="auto"/>
        <w:jc w:val="both"/>
      </w:pPr>
      <w:r>
        <w:rPr>
          <w:rStyle w:val="footnotemark"/>
        </w:rPr>
        <w:footnoteRef/>
      </w:r>
      <w:r>
        <w:t xml:space="preserve"> Further information on Family Help assessments, provision of Family Help services and accessing services is in </w:t>
      </w:r>
      <w:hyperlink r:id="rId11">
        <w:r>
          <w:rPr>
            <w:color w:val="0000FF"/>
            <w:u w:val="single" w:color="0000FF"/>
          </w:rPr>
          <w:t>Working Together to Safeguard Children.</w:t>
        </w:r>
      </w:hyperlink>
      <w:hyperlink r:id="rId12">
        <w:r>
          <w:t xml:space="preserve"> </w:t>
        </w:r>
      </w:hyperlink>
    </w:p>
  </w:footnote>
  <w:footnote w:id="13">
    <w:p w14:paraId="7CC8EB0E" w14:textId="77777777" w:rsidR="00A932C3" w:rsidRDefault="00324E68">
      <w:pPr>
        <w:pStyle w:val="footnotedescription"/>
        <w:spacing w:after="15"/>
        <w:jc w:val="both"/>
      </w:pPr>
      <w:r>
        <w:rPr>
          <w:rStyle w:val="footnotemark"/>
        </w:rPr>
        <w:footnoteRef/>
      </w:r>
      <w:r>
        <w:t xml:space="preserve"> </w:t>
      </w:r>
      <w:hyperlink r:id="rId13">
        <w:r>
          <w:rPr>
            <w:color w:val="0000FF"/>
            <w:u w:val="single" w:color="0000FF"/>
          </w:rPr>
          <w:t>Working Together to Safeguard Children</w:t>
        </w:r>
      </w:hyperlink>
      <w:hyperlink r:id="rId14">
        <w:r>
          <w:rPr>
            <w:color w:val="0000FF"/>
          </w:rPr>
          <w:t xml:space="preserve"> </w:t>
        </w:r>
      </w:hyperlink>
      <w:r>
        <w:t xml:space="preserve">sets out that the safeguarding partners should publish a threshold document </w:t>
      </w:r>
    </w:p>
    <w:p w14:paraId="42EE7D02" w14:textId="77777777" w:rsidR="00A932C3" w:rsidRDefault="00324E68">
      <w:pPr>
        <w:pStyle w:val="footnotedescription"/>
        <w:spacing w:after="0" w:line="258" w:lineRule="auto"/>
        <w:ind w:left="0" w:firstLine="1"/>
      </w:pPr>
      <w:r>
        <w:t xml:space="preserve">that should include the criteria, including the level of need, for when a case should be referred to local authority children’s social care for assessment and for statutory services under section 17 and 47. Local authorities, with their partners, should develop and publish local protocols for assessment. A local protocol should set out clear arrangements for how cases will be managed once a child is referred into local authority children’s social care. </w:t>
      </w:r>
    </w:p>
  </w:footnote>
  <w:footnote w:id="14">
    <w:p w14:paraId="523E988E" w14:textId="77777777" w:rsidR="00A932C3" w:rsidRDefault="00324E68">
      <w:pPr>
        <w:pStyle w:val="footnotedescription"/>
        <w:spacing w:after="139" w:line="276" w:lineRule="auto"/>
        <w:ind w:right="481"/>
        <w:jc w:val="both"/>
      </w:pPr>
      <w:r>
        <w:rPr>
          <w:rStyle w:val="footnotemark"/>
        </w:rPr>
        <w:footnoteRef/>
      </w:r>
      <w:r>
        <w:t xml:space="preserve"> See </w:t>
      </w:r>
      <w:hyperlink r:id="rId15">
        <w:r>
          <w:rPr>
            <w:color w:val="0000FF"/>
            <w:u w:val="single" w:color="0000FF"/>
          </w:rPr>
          <w:t>Working Together to Safeguard Children</w:t>
        </w:r>
      </w:hyperlink>
      <w:hyperlink r:id="rId16">
        <w:r>
          <w:rPr>
            <w:color w:val="0000FF"/>
          </w:rPr>
          <w:t xml:space="preserve"> </w:t>
        </w:r>
      </w:hyperlink>
      <w:r>
        <w:t xml:space="preserve">for further information about extra-familial harms and environments outside the family home. </w:t>
      </w:r>
    </w:p>
    <w:p w14:paraId="466F6FD4" w14:textId="77777777" w:rsidR="00A932C3" w:rsidRDefault="00324E68">
      <w:pPr>
        <w:pStyle w:val="footnotedescription"/>
        <w:spacing w:after="0"/>
      </w:pPr>
      <w:r>
        <w:t xml:space="preserve"> </w:t>
      </w:r>
    </w:p>
  </w:footnote>
  <w:footnote w:id="15">
    <w:p w14:paraId="3C21F59A" w14:textId="77777777" w:rsidR="00A932C3" w:rsidRDefault="00324E68">
      <w:pPr>
        <w:pStyle w:val="footnotedescription"/>
        <w:spacing w:after="137" w:line="279" w:lineRule="auto"/>
      </w:pPr>
      <w:r>
        <w:rPr>
          <w:rStyle w:val="footnotemark"/>
        </w:rPr>
        <w:footnoteRef/>
      </w:r>
      <w:r>
        <w:t xml:space="preserve"> An analysis of serious case reviews can be found at </w:t>
      </w:r>
      <w:hyperlink r:id="rId17">
        <w:r>
          <w:rPr>
            <w:color w:val="0000FF"/>
            <w:u w:val="single" w:color="0000FF"/>
          </w:rPr>
          <w:t>gov.uk/government/publications/serious-case</w:t>
        </w:r>
      </w:hyperlink>
      <w:hyperlink r:id="rId18">
        <w:r>
          <w:rPr>
            <w:color w:val="0000FF"/>
            <w:u w:val="single" w:color="0000FF"/>
          </w:rPr>
          <w:t>reviews-analysis-lessons-and-challenges</w:t>
        </w:r>
      </w:hyperlink>
      <w:hyperlink r:id="rId19">
        <w:r>
          <w:t xml:space="preserve"> </w:t>
        </w:r>
      </w:hyperlink>
    </w:p>
    <w:p w14:paraId="7DD7E9C3" w14:textId="77777777" w:rsidR="00A932C3" w:rsidRDefault="00324E68">
      <w:pPr>
        <w:pStyle w:val="footnotedescription"/>
        <w:spacing w:after="0"/>
      </w:pPr>
      <w:r>
        <w:t xml:space="preserve"> </w:t>
      </w:r>
    </w:p>
  </w:footnote>
  <w:footnote w:id="16">
    <w:p w14:paraId="5F2FCF5B" w14:textId="77777777" w:rsidR="00A932C3" w:rsidRDefault="00324E68">
      <w:pPr>
        <w:pStyle w:val="footnotedescription"/>
        <w:spacing w:line="289" w:lineRule="auto"/>
        <w:ind w:left="0" w:right="305" w:firstLine="1"/>
        <w:jc w:val="both"/>
      </w:pPr>
      <w:r>
        <w:rPr>
          <w:rStyle w:val="footnotemark"/>
        </w:rPr>
        <w:footnoteRef/>
      </w:r>
      <w:r>
        <w:t xml:space="preserve"> Alternatively, staff can write to: National Society for the Prevention of Cruelty to Children (NSPCC), Weston House, 42 Curtain, Road, London EC2A 3NH. </w:t>
      </w:r>
    </w:p>
    <w:p w14:paraId="4832B717" w14:textId="77777777" w:rsidR="00A932C3" w:rsidRDefault="00324E68">
      <w:pPr>
        <w:pStyle w:val="footnotedescription"/>
        <w:spacing w:after="0"/>
        <w:ind w:left="0"/>
      </w:pPr>
      <w:r>
        <w:t xml:space="preserve"> </w:t>
      </w:r>
    </w:p>
  </w:footnote>
  <w:footnote w:id="17">
    <w:p w14:paraId="5CA6CFCF" w14:textId="77777777" w:rsidR="00A932C3" w:rsidRDefault="00324E68">
      <w:pPr>
        <w:pStyle w:val="footnotedescription"/>
        <w:spacing w:after="0" w:line="295" w:lineRule="auto"/>
      </w:pPr>
      <w:r>
        <w:rPr>
          <w:rStyle w:val="footnotemark"/>
        </w:rPr>
        <w:footnoteRef/>
      </w:r>
      <w:r>
        <w:t xml:space="preserve"> Section 20 of the Victim and Prisoners Act 2024 introduced a new provision into Part 3 of the Domestic Abuse Act 2021 under Section 49A. </w:t>
      </w:r>
      <w:hyperlink r:id="rId20">
        <w:r>
          <w:rPr>
            <w:color w:val="467886"/>
            <w:u w:val="single" w:color="467886"/>
          </w:rPr>
          <w:t>[Victims and Prisoners Act 2024]</w:t>
        </w:r>
      </w:hyperlink>
      <w:hyperlink r:id="rId21">
        <w:r>
          <w:t xml:space="preserve"> </w:t>
        </w:r>
      </w:hyperlink>
    </w:p>
  </w:footnote>
  <w:footnote w:id="18">
    <w:p w14:paraId="067F2BF8" w14:textId="77777777" w:rsidR="00A932C3" w:rsidRDefault="00324E68">
      <w:pPr>
        <w:pStyle w:val="footnotedescription"/>
        <w:spacing w:after="157"/>
      </w:pPr>
      <w:r>
        <w:rPr>
          <w:rStyle w:val="footnotemark"/>
        </w:rPr>
        <w:footnoteRef/>
      </w:r>
      <w:r>
        <w:t xml:space="preserve"> </w:t>
      </w:r>
      <w:hyperlink r:id="rId22">
        <w:r>
          <w:rPr>
            <w:color w:val="467886"/>
            <w:u w:val="single" w:color="467886"/>
          </w:rPr>
          <w:t>Counter-Terrorism and Security Act 2015 (legislation.gov.uk)</w:t>
        </w:r>
      </w:hyperlink>
      <w:hyperlink r:id="rId23">
        <w:r>
          <w:t xml:space="preserve"> </w:t>
        </w:r>
      </w:hyperlink>
      <w:r>
        <w:t xml:space="preserve"> </w:t>
      </w:r>
    </w:p>
  </w:footnote>
  <w:footnote w:id="19">
    <w:p w14:paraId="57C66E8F" w14:textId="77777777" w:rsidR="00A932C3" w:rsidRDefault="00324E68">
      <w:pPr>
        <w:pStyle w:val="footnotedescription"/>
        <w:spacing w:after="0"/>
      </w:pPr>
      <w:r>
        <w:rPr>
          <w:rStyle w:val="footnotemark"/>
        </w:rPr>
        <w:footnoteRef/>
      </w:r>
      <w:r>
        <w:t xml:space="preserve"> “Terrorism” for these purposes has the same meaning as for the Terrorism Act 2000 (section 1(1) to (4) of that Act). </w:t>
      </w:r>
    </w:p>
  </w:footnote>
  <w:footnote w:id="20">
    <w:p w14:paraId="728C36E4" w14:textId="77777777" w:rsidR="00A932C3" w:rsidRDefault="00324E68">
      <w:pPr>
        <w:pStyle w:val="footnotedescription"/>
        <w:spacing w:after="126" w:line="277" w:lineRule="auto"/>
      </w:pPr>
      <w:r>
        <w:rPr>
          <w:rStyle w:val="footnotemark"/>
        </w:rPr>
        <w:footnoteRef/>
      </w:r>
      <w:r>
        <w:t xml:space="preserve"> Under Section 5B(11)(a) of the Female Genital Mutilation Act 2003, “teacher” means, in relation to England, a person within section 141A(1) of the Education Act 2002 (persons employed or engaged to carry out teaching work at schools and other institutions in England).  </w:t>
      </w:r>
    </w:p>
  </w:footnote>
  <w:footnote w:id="21">
    <w:p w14:paraId="0822CBF5" w14:textId="77777777" w:rsidR="00A932C3" w:rsidRDefault="00324E68">
      <w:pPr>
        <w:pStyle w:val="footnotedescription"/>
        <w:spacing w:after="0" w:line="295" w:lineRule="auto"/>
      </w:pPr>
      <w:r>
        <w:rPr>
          <w:rStyle w:val="footnotemark"/>
        </w:rPr>
        <w:footnoteRef/>
      </w:r>
      <w:r>
        <w:t xml:space="preserve"> Section 5B(6) of the Female Genital Mutilation Act 2003 states teachers need not report a case to the police if they have reason to believe that another teacher has already reported the case.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7EA"/>
    <w:multiLevelType w:val="hybridMultilevel"/>
    <w:tmpl w:val="7CB46E02"/>
    <w:lvl w:ilvl="0" w:tplc="C4FCB30C">
      <w:start w:val="42"/>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683B8C">
      <w:start w:val="1"/>
      <w:numFmt w:val="lowerLetter"/>
      <w:lvlText w:val="%2"/>
      <w:lvlJc w:val="left"/>
      <w:pPr>
        <w:ind w:left="1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E00A2AE">
      <w:start w:val="1"/>
      <w:numFmt w:val="lowerRoman"/>
      <w:lvlText w:val="%3"/>
      <w:lvlJc w:val="left"/>
      <w:pPr>
        <w:ind w:left="2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4E91AC">
      <w:start w:val="1"/>
      <w:numFmt w:val="decimal"/>
      <w:lvlText w:val="%4"/>
      <w:lvlJc w:val="left"/>
      <w:pPr>
        <w:ind w:left="2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7E892E">
      <w:start w:val="1"/>
      <w:numFmt w:val="lowerLetter"/>
      <w:lvlText w:val="%5"/>
      <w:lvlJc w:val="left"/>
      <w:pPr>
        <w:ind w:left="3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24B1F8">
      <w:start w:val="1"/>
      <w:numFmt w:val="lowerRoman"/>
      <w:lvlText w:val="%6"/>
      <w:lvlJc w:val="left"/>
      <w:pPr>
        <w:ind w:left="4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0E4646">
      <w:start w:val="1"/>
      <w:numFmt w:val="decimal"/>
      <w:lvlText w:val="%7"/>
      <w:lvlJc w:val="left"/>
      <w:pPr>
        <w:ind w:left="4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D8D238">
      <w:start w:val="1"/>
      <w:numFmt w:val="lowerLetter"/>
      <w:lvlText w:val="%8"/>
      <w:lvlJc w:val="left"/>
      <w:pPr>
        <w:ind w:left="5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D848BE2">
      <w:start w:val="1"/>
      <w:numFmt w:val="lowerRoman"/>
      <w:lvlText w:val="%9"/>
      <w:lvlJc w:val="left"/>
      <w:pPr>
        <w:ind w:left="6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6073E2"/>
    <w:multiLevelType w:val="hybridMultilevel"/>
    <w:tmpl w:val="EECEDDEC"/>
    <w:lvl w:ilvl="0" w:tplc="2898C956">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3AE2F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C5A7F4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F7E166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2CC72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1446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7741AF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B8663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CD4924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639609B"/>
    <w:multiLevelType w:val="hybridMultilevel"/>
    <w:tmpl w:val="AB98544E"/>
    <w:lvl w:ilvl="0" w:tplc="C598EABC">
      <w:start w:val="4"/>
      <w:numFmt w:val="decimal"/>
      <w:lvlText w:val="%1."/>
      <w:lvlJc w:val="left"/>
      <w:pPr>
        <w:ind w:left="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E41808">
      <w:start w:val="1"/>
      <w:numFmt w:val="lowerLetter"/>
      <w:lvlText w:val="%2"/>
      <w:lvlJc w:val="left"/>
      <w:pPr>
        <w:ind w:left="1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96CE38C">
      <w:start w:val="1"/>
      <w:numFmt w:val="lowerRoman"/>
      <w:lvlText w:val="%3"/>
      <w:lvlJc w:val="left"/>
      <w:pPr>
        <w:ind w:left="2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9AA14AC">
      <w:start w:val="1"/>
      <w:numFmt w:val="decimal"/>
      <w:lvlText w:val="%4"/>
      <w:lvlJc w:val="left"/>
      <w:pPr>
        <w:ind w:left="27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705AF4">
      <w:start w:val="1"/>
      <w:numFmt w:val="lowerLetter"/>
      <w:lvlText w:val="%5"/>
      <w:lvlJc w:val="left"/>
      <w:pPr>
        <w:ind w:left="3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90E08E">
      <w:start w:val="1"/>
      <w:numFmt w:val="lowerRoman"/>
      <w:lvlText w:val="%6"/>
      <w:lvlJc w:val="left"/>
      <w:pPr>
        <w:ind w:left="4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27C6074">
      <w:start w:val="1"/>
      <w:numFmt w:val="decimal"/>
      <w:lvlText w:val="%7"/>
      <w:lvlJc w:val="left"/>
      <w:pPr>
        <w:ind w:left="49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9685FE">
      <w:start w:val="1"/>
      <w:numFmt w:val="lowerLetter"/>
      <w:lvlText w:val="%8"/>
      <w:lvlJc w:val="left"/>
      <w:pPr>
        <w:ind w:left="5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35E3678">
      <w:start w:val="1"/>
      <w:numFmt w:val="lowerRoman"/>
      <w:lvlText w:val="%9"/>
      <w:lvlJc w:val="left"/>
      <w:pPr>
        <w:ind w:left="6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F47D0E"/>
    <w:multiLevelType w:val="hybridMultilevel"/>
    <w:tmpl w:val="CEBEC814"/>
    <w:lvl w:ilvl="0" w:tplc="1A20977C">
      <w:start w:val="69"/>
      <w:numFmt w:val="decimal"/>
      <w:lvlText w:val="%1."/>
      <w:lvlJc w:val="left"/>
      <w:pPr>
        <w:ind w:left="1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16FE6C">
      <w:start w:val="1"/>
      <w:numFmt w:val="bullet"/>
      <w:lvlText w:val="•"/>
      <w:lvlJc w:val="left"/>
      <w:pPr>
        <w:ind w:left="1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142BCC">
      <w:start w:val="1"/>
      <w:numFmt w:val="bullet"/>
      <w:lvlText w:val="▪"/>
      <w:lvlJc w:val="left"/>
      <w:pPr>
        <w:ind w:left="16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6415CC">
      <w:start w:val="1"/>
      <w:numFmt w:val="bullet"/>
      <w:lvlText w:val="•"/>
      <w:lvlJc w:val="left"/>
      <w:pPr>
        <w:ind w:left="2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4E5086">
      <w:start w:val="1"/>
      <w:numFmt w:val="bullet"/>
      <w:lvlText w:val="o"/>
      <w:lvlJc w:val="left"/>
      <w:pPr>
        <w:ind w:left="31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041086">
      <w:start w:val="1"/>
      <w:numFmt w:val="bullet"/>
      <w:lvlText w:val="▪"/>
      <w:lvlJc w:val="left"/>
      <w:pPr>
        <w:ind w:left="38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90AFA4C">
      <w:start w:val="1"/>
      <w:numFmt w:val="bullet"/>
      <w:lvlText w:val="•"/>
      <w:lvlJc w:val="left"/>
      <w:pPr>
        <w:ind w:left="4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74307E">
      <w:start w:val="1"/>
      <w:numFmt w:val="bullet"/>
      <w:lvlText w:val="o"/>
      <w:lvlJc w:val="left"/>
      <w:pPr>
        <w:ind w:left="52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CA34E6">
      <w:start w:val="1"/>
      <w:numFmt w:val="bullet"/>
      <w:lvlText w:val="▪"/>
      <w:lvlJc w:val="left"/>
      <w:pPr>
        <w:ind w:left="59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4741C7"/>
    <w:multiLevelType w:val="hybridMultilevel"/>
    <w:tmpl w:val="87E28DFC"/>
    <w:lvl w:ilvl="0" w:tplc="A17C8222">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A9605A2">
      <w:start w:val="1"/>
      <w:numFmt w:val="bullet"/>
      <w:lvlText w:val="o"/>
      <w:lvlJc w:val="left"/>
      <w:pPr>
        <w:ind w:left="77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F2C92C6">
      <w:start w:val="1"/>
      <w:numFmt w:val="bullet"/>
      <w:lvlText w:val="▪"/>
      <w:lvlJc w:val="left"/>
      <w:pPr>
        <w:ind w:left="118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F1A291A">
      <w:start w:val="1"/>
      <w:numFmt w:val="bullet"/>
      <w:lvlRestart w:val="0"/>
      <w:lvlText w:val="o"/>
      <w:lvlJc w:val="left"/>
      <w:pPr>
        <w:ind w:left="173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21225EE">
      <w:start w:val="1"/>
      <w:numFmt w:val="bullet"/>
      <w:lvlText w:val="o"/>
      <w:lvlJc w:val="left"/>
      <w:pPr>
        <w:ind w:left="231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BDC364A">
      <w:start w:val="1"/>
      <w:numFmt w:val="bullet"/>
      <w:lvlText w:val="▪"/>
      <w:lvlJc w:val="left"/>
      <w:pPr>
        <w:ind w:left="303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465C9A62">
      <w:start w:val="1"/>
      <w:numFmt w:val="bullet"/>
      <w:lvlText w:val="•"/>
      <w:lvlJc w:val="left"/>
      <w:pPr>
        <w:ind w:left="375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6A25942">
      <w:start w:val="1"/>
      <w:numFmt w:val="bullet"/>
      <w:lvlText w:val="o"/>
      <w:lvlJc w:val="left"/>
      <w:pPr>
        <w:ind w:left="447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048F8DA">
      <w:start w:val="1"/>
      <w:numFmt w:val="bullet"/>
      <w:lvlText w:val="▪"/>
      <w:lvlJc w:val="left"/>
      <w:pPr>
        <w:ind w:left="519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E410DC1"/>
    <w:multiLevelType w:val="hybridMultilevel"/>
    <w:tmpl w:val="CEA2DB78"/>
    <w:lvl w:ilvl="0" w:tplc="18362A5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C48A1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A8150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110BF7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8AB93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B6CB0B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BCB18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C0DC5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64C90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3BC3AE1"/>
    <w:multiLevelType w:val="hybridMultilevel"/>
    <w:tmpl w:val="057CBA9E"/>
    <w:lvl w:ilvl="0" w:tplc="D508136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5943E5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EA65B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F6E188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3A09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276BF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9CC692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C8EE86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74DE8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A393C4B"/>
    <w:multiLevelType w:val="hybridMultilevel"/>
    <w:tmpl w:val="872AE070"/>
    <w:lvl w:ilvl="0" w:tplc="CFEE9C32">
      <w:start w:val="74"/>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12FA86">
      <w:start w:val="1"/>
      <w:numFmt w:val="bullet"/>
      <w:lvlText w:val="•"/>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F5E3504">
      <w:start w:val="1"/>
      <w:numFmt w:val="bullet"/>
      <w:lvlText w:val="▪"/>
      <w:lvlJc w:val="left"/>
      <w:pPr>
        <w:ind w:left="2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6E63B66">
      <w:start w:val="1"/>
      <w:numFmt w:val="bullet"/>
      <w:lvlText w:val="•"/>
      <w:lvlJc w:val="left"/>
      <w:pPr>
        <w:ind w:left="3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8A641A">
      <w:start w:val="1"/>
      <w:numFmt w:val="bullet"/>
      <w:lvlText w:val="o"/>
      <w:lvlJc w:val="left"/>
      <w:pPr>
        <w:ind w:left="3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EAE75E">
      <w:start w:val="1"/>
      <w:numFmt w:val="bullet"/>
      <w:lvlText w:val="▪"/>
      <w:lvlJc w:val="left"/>
      <w:pPr>
        <w:ind w:left="4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4ADCB0">
      <w:start w:val="1"/>
      <w:numFmt w:val="bullet"/>
      <w:lvlText w:val="•"/>
      <w:lvlJc w:val="left"/>
      <w:pPr>
        <w:ind w:left="5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7A1420">
      <w:start w:val="1"/>
      <w:numFmt w:val="bullet"/>
      <w:lvlText w:val="o"/>
      <w:lvlJc w:val="left"/>
      <w:pPr>
        <w:ind w:left="5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7093FA">
      <w:start w:val="1"/>
      <w:numFmt w:val="bullet"/>
      <w:lvlText w:val="▪"/>
      <w:lvlJc w:val="left"/>
      <w:pPr>
        <w:ind w:left="6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C5524E7"/>
    <w:multiLevelType w:val="hybridMultilevel"/>
    <w:tmpl w:val="DB8660DE"/>
    <w:lvl w:ilvl="0" w:tplc="B836650E">
      <w:start w:val="25"/>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0ACB48">
      <w:start w:val="1"/>
      <w:numFmt w:val="lowerLetter"/>
      <w:lvlText w:val="%2"/>
      <w:lvlJc w:val="left"/>
      <w:pPr>
        <w:ind w:left="11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7244050">
      <w:start w:val="1"/>
      <w:numFmt w:val="lowerRoman"/>
      <w:lvlText w:val="%3"/>
      <w:lvlJc w:val="left"/>
      <w:pPr>
        <w:ind w:left="19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AB0CC94">
      <w:start w:val="1"/>
      <w:numFmt w:val="decimal"/>
      <w:lvlText w:val="%4"/>
      <w:lvlJc w:val="left"/>
      <w:pPr>
        <w:ind w:left="26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088CE6">
      <w:start w:val="1"/>
      <w:numFmt w:val="lowerLetter"/>
      <w:lvlText w:val="%5"/>
      <w:lvlJc w:val="left"/>
      <w:pPr>
        <w:ind w:left="3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3AA4156">
      <w:start w:val="1"/>
      <w:numFmt w:val="lowerRoman"/>
      <w:lvlText w:val="%6"/>
      <w:lvlJc w:val="left"/>
      <w:pPr>
        <w:ind w:left="40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90818C">
      <w:start w:val="1"/>
      <w:numFmt w:val="decimal"/>
      <w:lvlText w:val="%7"/>
      <w:lvlJc w:val="left"/>
      <w:pPr>
        <w:ind w:left="47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D4BF22">
      <w:start w:val="1"/>
      <w:numFmt w:val="lowerLetter"/>
      <w:lvlText w:val="%8"/>
      <w:lvlJc w:val="left"/>
      <w:pPr>
        <w:ind w:left="5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5186446">
      <w:start w:val="1"/>
      <w:numFmt w:val="lowerRoman"/>
      <w:lvlText w:val="%9"/>
      <w:lvlJc w:val="left"/>
      <w:pPr>
        <w:ind w:left="62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3D44745"/>
    <w:multiLevelType w:val="hybridMultilevel"/>
    <w:tmpl w:val="EDE88E64"/>
    <w:lvl w:ilvl="0" w:tplc="2904EF9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9E50B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542CD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C258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7E42E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BE65BD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2EA53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0E96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452915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E540957"/>
    <w:multiLevelType w:val="hybridMultilevel"/>
    <w:tmpl w:val="0644B26C"/>
    <w:lvl w:ilvl="0" w:tplc="5C70CB12">
      <w:start w:val="80"/>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08B0E6">
      <w:start w:val="1"/>
      <w:numFmt w:val="bullet"/>
      <w:lvlText w:val="•"/>
      <w:lvlJc w:val="left"/>
      <w:pPr>
        <w:ind w:left="1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E72159A">
      <w:start w:val="1"/>
      <w:numFmt w:val="bullet"/>
      <w:lvlText w:val="▪"/>
      <w:lvlJc w:val="left"/>
      <w:pPr>
        <w:ind w:left="2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B87DB4">
      <w:start w:val="1"/>
      <w:numFmt w:val="bullet"/>
      <w:lvlText w:val="•"/>
      <w:lvlJc w:val="left"/>
      <w:pPr>
        <w:ind w:left="2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9C263E">
      <w:start w:val="1"/>
      <w:numFmt w:val="bullet"/>
      <w:lvlText w:val="o"/>
      <w:lvlJc w:val="left"/>
      <w:pPr>
        <w:ind w:left="3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5A5B36">
      <w:start w:val="1"/>
      <w:numFmt w:val="bullet"/>
      <w:lvlText w:val="▪"/>
      <w:lvlJc w:val="left"/>
      <w:pPr>
        <w:ind w:left="4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349C7E">
      <w:start w:val="1"/>
      <w:numFmt w:val="bullet"/>
      <w:lvlText w:val="•"/>
      <w:lvlJc w:val="left"/>
      <w:pPr>
        <w:ind w:left="4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88B11E">
      <w:start w:val="1"/>
      <w:numFmt w:val="bullet"/>
      <w:lvlText w:val="o"/>
      <w:lvlJc w:val="left"/>
      <w:pPr>
        <w:ind w:left="5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32E854">
      <w:start w:val="1"/>
      <w:numFmt w:val="bullet"/>
      <w:lvlText w:val="▪"/>
      <w:lvlJc w:val="left"/>
      <w:pPr>
        <w:ind w:left="6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27B5E34"/>
    <w:multiLevelType w:val="hybridMultilevel"/>
    <w:tmpl w:val="6758185C"/>
    <w:lvl w:ilvl="0" w:tplc="C3DA2B9E">
      <w:start w:val="77"/>
      <w:numFmt w:val="decimal"/>
      <w:lvlText w:val="%1."/>
      <w:lvlJc w:val="left"/>
      <w:pPr>
        <w:ind w:left="2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083D02">
      <w:start w:val="1"/>
      <w:numFmt w:val="bullet"/>
      <w:lvlText w:val="•"/>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1E09C2">
      <w:start w:val="1"/>
      <w:numFmt w:val="bullet"/>
      <w:lvlText w:val="▪"/>
      <w:lvlJc w:val="left"/>
      <w:pPr>
        <w:ind w:left="2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F4EAC24">
      <w:start w:val="1"/>
      <w:numFmt w:val="bullet"/>
      <w:lvlText w:val="•"/>
      <w:lvlJc w:val="left"/>
      <w:pPr>
        <w:ind w:left="3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849056">
      <w:start w:val="1"/>
      <w:numFmt w:val="bullet"/>
      <w:lvlText w:val="o"/>
      <w:lvlJc w:val="left"/>
      <w:pPr>
        <w:ind w:left="3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D20EAA">
      <w:start w:val="1"/>
      <w:numFmt w:val="bullet"/>
      <w:lvlText w:val="▪"/>
      <w:lvlJc w:val="left"/>
      <w:pPr>
        <w:ind w:left="4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C04550">
      <w:start w:val="1"/>
      <w:numFmt w:val="bullet"/>
      <w:lvlText w:val="•"/>
      <w:lvlJc w:val="left"/>
      <w:pPr>
        <w:ind w:left="5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1AC2D4">
      <w:start w:val="1"/>
      <w:numFmt w:val="bullet"/>
      <w:lvlText w:val="o"/>
      <w:lvlJc w:val="left"/>
      <w:pPr>
        <w:ind w:left="5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204D1A">
      <w:start w:val="1"/>
      <w:numFmt w:val="bullet"/>
      <w:lvlText w:val="▪"/>
      <w:lvlJc w:val="left"/>
      <w:pPr>
        <w:ind w:left="6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76015E5"/>
    <w:multiLevelType w:val="hybridMultilevel"/>
    <w:tmpl w:val="5D7A9418"/>
    <w:lvl w:ilvl="0" w:tplc="0438496C">
      <w:start w:val="19"/>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7A6492">
      <w:start w:val="1"/>
      <w:numFmt w:val="lowerLetter"/>
      <w:lvlText w:val="%2"/>
      <w:lvlJc w:val="left"/>
      <w:pPr>
        <w:ind w:left="1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D0261AA">
      <w:start w:val="1"/>
      <w:numFmt w:val="lowerRoman"/>
      <w:lvlText w:val="%3"/>
      <w:lvlJc w:val="left"/>
      <w:pPr>
        <w:ind w:left="20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5C4BD4">
      <w:start w:val="1"/>
      <w:numFmt w:val="decimal"/>
      <w:lvlText w:val="%4"/>
      <w:lvlJc w:val="left"/>
      <w:pPr>
        <w:ind w:left="2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56A164">
      <w:start w:val="1"/>
      <w:numFmt w:val="lowerLetter"/>
      <w:lvlText w:val="%5"/>
      <w:lvlJc w:val="left"/>
      <w:pPr>
        <w:ind w:left="35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C2CD1A0">
      <w:start w:val="1"/>
      <w:numFmt w:val="lowerRoman"/>
      <w:lvlText w:val="%6"/>
      <w:lvlJc w:val="left"/>
      <w:pPr>
        <w:ind w:left="42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1694AE">
      <w:start w:val="1"/>
      <w:numFmt w:val="decimal"/>
      <w:lvlText w:val="%7"/>
      <w:lvlJc w:val="left"/>
      <w:pPr>
        <w:ind w:left="49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3E90E2">
      <w:start w:val="1"/>
      <w:numFmt w:val="lowerLetter"/>
      <w:lvlText w:val="%8"/>
      <w:lvlJc w:val="left"/>
      <w:pPr>
        <w:ind w:left="56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CB04718">
      <w:start w:val="1"/>
      <w:numFmt w:val="lowerRoman"/>
      <w:lvlText w:val="%9"/>
      <w:lvlJc w:val="left"/>
      <w:pPr>
        <w:ind w:left="63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C234E5E"/>
    <w:multiLevelType w:val="hybridMultilevel"/>
    <w:tmpl w:val="8270A2D0"/>
    <w:lvl w:ilvl="0" w:tplc="B036BB08">
      <w:start w:val="1"/>
      <w:numFmt w:val="bullet"/>
      <w:lvlText w:val="•"/>
      <w:lvlJc w:val="left"/>
      <w:pPr>
        <w:ind w:left="1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400C78">
      <w:start w:val="1"/>
      <w:numFmt w:val="bullet"/>
      <w:lvlText w:val="o"/>
      <w:lvlJc w:val="left"/>
      <w:pPr>
        <w:ind w:left="1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8A4162">
      <w:start w:val="1"/>
      <w:numFmt w:val="bullet"/>
      <w:lvlText w:val="▪"/>
      <w:lvlJc w:val="left"/>
      <w:pPr>
        <w:ind w:left="2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6AC6324">
      <w:start w:val="1"/>
      <w:numFmt w:val="bullet"/>
      <w:lvlText w:val="•"/>
      <w:lvlJc w:val="left"/>
      <w:pPr>
        <w:ind w:left="3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F8F5E2">
      <w:start w:val="1"/>
      <w:numFmt w:val="bullet"/>
      <w:lvlText w:val="o"/>
      <w:lvlJc w:val="left"/>
      <w:pPr>
        <w:ind w:left="3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B187878">
      <w:start w:val="1"/>
      <w:numFmt w:val="bullet"/>
      <w:lvlText w:val="▪"/>
      <w:lvlJc w:val="left"/>
      <w:pPr>
        <w:ind w:left="4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8AE09A">
      <w:start w:val="1"/>
      <w:numFmt w:val="bullet"/>
      <w:lvlText w:val="•"/>
      <w:lvlJc w:val="left"/>
      <w:pPr>
        <w:ind w:left="5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80DE00">
      <w:start w:val="1"/>
      <w:numFmt w:val="bullet"/>
      <w:lvlText w:val="o"/>
      <w:lvlJc w:val="left"/>
      <w:pPr>
        <w:ind w:left="5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425AA2">
      <w:start w:val="1"/>
      <w:numFmt w:val="bullet"/>
      <w:lvlText w:val="▪"/>
      <w:lvlJc w:val="left"/>
      <w:pPr>
        <w:ind w:left="6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60B491F"/>
    <w:multiLevelType w:val="hybridMultilevel"/>
    <w:tmpl w:val="BFEA01F8"/>
    <w:lvl w:ilvl="0" w:tplc="09B4B592">
      <w:start w:val="65"/>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0424C8">
      <w:start w:val="1"/>
      <w:numFmt w:val="lowerLetter"/>
      <w:lvlText w:val="%2"/>
      <w:lvlJc w:val="left"/>
      <w:pPr>
        <w:ind w:left="1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92CBF7E">
      <w:start w:val="1"/>
      <w:numFmt w:val="lowerRoman"/>
      <w:lvlText w:val="%3"/>
      <w:lvlJc w:val="left"/>
      <w:pPr>
        <w:ind w:left="1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000B28">
      <w:start w:val="1"/>
      <w:numFmt w:val="decimal"/>
      <w:lvlText w:val="%4"/>
      <w:lvlJc w:val="left"/>
      <w:pPr>
        <w:ind w:left="2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749BAA">
      <w:start w:val="1"/>
      <w:numFmt w:val="lowerLetter"/>
      <w:lvlText w:val="%5"/>
      <w:lvlJc w:val="left"/>
      <w:pPr>
        <w:ind w:left="3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D8A6D4">
      <w:start w:val="1"/>
      <w:numFmt w:val="lowerRoman"/>
      <w:lvlText w:val="%6"/>
      <w:lvlJc w:val="left"/>
      <w:pPr>
        <w:ind w:left="4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2008A5C">
      <w:start w:val="1"/>
      <w:numFmt w:val="decimal"/>
      <w:lvlText w:val="%7"/>
      <w:lvlJc w:val="left"/>
      <w:pPr>
        <w:ind w:left="4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C63AF6">
      <w:start w:val="1"/>
      <w:numFmt w:val="lowerLetter"/>
      <w:lvlText w:val="%8"/>
      <w:lvlJc w:val="left"/>
      <w:pPr>
        <w:ind w:left="5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E8B978">
      <w:start w:val="1"/>
      <w:numFmt w:val="lowerRoman"/>
      <w:lvlText w:val="%9"/>
      <w:lvlJc w:val="left"/>
      <w:pPr>
        <w:ind w:left="6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A0C72B9"/>
    <w:multiLevelType w:val="hybridMultilevel"/>
    <w:tmpl w:val="C45A631A"/>
    <w:lvl w:ilvl="0" w:tplc="4588DAB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C0A7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B6413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4F09E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B58C3C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C8635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CEE139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3A23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5A40DC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D9230D4"/>
    <w:multiLevelType w:val="hybridMultilevel"/>
    <w:tmpl w:val="D6DC7126"/>
    <w:lvl w:ilvl="0" w:tplc="2676C912">
      <w:start w:val="47"/>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4C9628">
      <w:start w:val="1"/>
      <w:numFmt w:val="bullet"/>
      <w:lvlText w:val="•"/>
      <w:lvlJc w:val="left"/>
      <w:pPr>
        <w:ind w:left="1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3F62FBE">
      <w:start w:val="1"/>
      <w:numFmt w:val="bullet"/>
      <w:lvlText w:val="▪"/>
      <w:lvlJc w:val="left"/>
      <w:pPr>
        <w:ind w:left="1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AC746C">
      <w:start w:val="1"/>
      <w:numFmt w:val="bullet"/>
      <w:lvlText w:val="•"/>
      <w:lvlJc w:val="left"/>
      <w:pPr>
        <w:ind w:left="2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48E2C2">
      <w:start w:val="1"/>
      <w:numFmt w:val="bullet"/>
      <w:lvlText w:val="o"/>
      <w:lvlJc w:val="left"/>
      <w:pPr>
        <w:ind w:left="3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004894">
      <w:start w:val="1"/>
      <w:numFmt w:val="bullet"/>
      <w:lvlText w:val="▪"/>
      <w:lvlJc w:val="left"/>
      <w:pPr>
        <w:ind w:left="3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98DCC6">
      <w:start w:val="1"/>
      <w:numFmt w:val="bullet"/>
      <w:lvlText w:val="•"/>
      <w:lvlJc w:val="left"/>
      <w:pPr>
        <w:ind w:left="4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8CE416">
      <w:start w:val="1"/>
      <w:numFmt w:val="bullet"/>
      <w:lvlText w:val="o"/>
      <w:lvlJc w:val="left"/>
      <w:pPr>
        <w:ind w:left="5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ABCE2D4">
      <w:start w:val="1"/>
      <w:numFmt w:val="bullet"/>
      <w:lvlText w:val="▪"/>
      <w:lvlJc w:val="left"/>
      <w:pPr>
        <w:ind w:left="6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4BC7056"/>
    <w:multiLevelType w:val="hybridMultilevel"/>
    <w:tmpl w:val="D228064A"/>
    <w:lvl w:ilvl="0" w:tplc="C2885076">
      <w:start w:val="51"/>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B2F968">
      <w:start w:val="1"/>
      <w:numFmt w:val="lowerLetter"/>
      <w:lvlText w:val="%2"/>
      <w:lvlJc w:val="left"/>
      <w:pPr>
        <w:ind w:left="1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C489CCE">
      <w:start w:val="1"/>
      <w:numFmt w:val="lowerRoman"/>
      <w:lvlText w:val="%3"/>
      <w:lvlJc w:val="left"/>
      <w:pPr>
        <w:ind w:left="20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6D86702">
      <w:start w:val="1"/>
      <w:numFmt w:val="decimal"/>
      <w:lvlText w:val="%4"/>
      <w:lvlJc w:val="left"/>
      <w:pPr>
        <w:ind w:left="2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DA8A7C">
      <w:start w:val="1"/>
      <w:numFmt w:val="lowerLetter"/>
      <w:lvlText w:val="%5"/>
      <w:lvlJc w:val="left"/>
      <w:pPr>
        <w:ind w:left="35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685D1E">
      <w:start w:val="1"/>
      <w:numFmt w:val="lowerRoman"/>
      <w:lvlText w:val="%6"/>
      <w:lvlJc w:val="left"/>
      <w:pPr>
        <w:ind w:left="42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C3A2716">
      <w:start w:val="1"/>
      <w:numFmt w:val="decimal"/>
      <w:lvlText w:val="%7"/>
      <w:lvlJc w:val="left"/>
      <w:pPr>
        <w:ind w:left="49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B45EBA">
      <w:start w:val="1"/>
      <w:numFmt w:val="lowerLetter"/>
      <w:lvlText w:val="%8"/>
      <w:lvlJc w:val="left"/>
      <w:pPr>
        <w:ind w:left="56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C601FE4">
      <w:start w:val="1"/>
      <w:numFmt w:val="lowerRoman"/>
      <w:lvlText w:val="%9"/>
      <w:lvlJc w:val="left"/>
      <w:pPr>
        <w:ind w:left="63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72576B5"/>
    <w:multiLevelType w:val="hybridMultilevel"/>
    <w:tmpl w:val="AC8E58A6"/>
    <w:lvl w:ilvl="0" w:tplc="6D6C5E68">
      <w:start w:val="39"/>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14C55A">
      <w:start w:val="1"/>
      <w:numFmt w:val="lowerLetter"/>
      <w:lvlText w:val="%2"/>
      <w:lvlJc w:val="left"/>
      <w:pPr>
        <w:ind w:left="13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D2E19A">
      <w:start w:val="1"/>
      <w:numFmt w:val="lowerRoman"/>
      <w:lvlText w:val="%3"/>
      <w:lvlJc w:val="left"/>
      <w:pPr>
        <w:ind w:left="20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504A08">
      <w:start w:val="1"/>
      <w:numFmt w:val="decimal"/>
      <w:lvlText w:val="%4"/>
      <w:lvlJc w:val="left"/>
      <w:pPr>
        <w:ind w:left="2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40C6E0">
      <w:start w:val="1"/>
      <w:numFmt w:val="lowerLetter"/>
      <w:lvlText w:val="%5"/>
      <w:lvlJc w:val="left"/>
      <w:pPr>
        <w:ind w:left="35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94AAD16">
      <w:start w:val="1"/>
      <w:numFmt w:val="lowerRoman"/>
      <w:lvlText w:val="%6"/>
      <w:lvlJc w:val="left"/>
      <w:pPr>
        <w:ind w:left="4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02AF44E">
      <w:start w:val="1"/>
      <w:numFmt w:val="decimal"/>
      <w:lvlText w:val="%7"/>
      <w:lvlJc w:val="left"/>
      <w:pPr>
        <w:ind w:left="49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CA86B8">
      <w:start w:val="1"/>
      <w:numFmt w:val="lowerLetter"/>
      <w:lvlText w:val="%8"/>
      <w:lvlJc w:val="left"/>
      <w:pPr>
        <w:ind w:left="56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6A4C84E">
      <w:start w:val="1"/>
      <w:numFmt w:val="lowerRoman"/>
      <w:lvlText w:val="%9"/>
      <w:lvlJc w:val="left"/>
      <w:pPr>
        <w:ind w:left="63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7319C0"/>
    <w:multiLevelType w:val="hybridMultilevel"/>
    <w:tmpl w:val="1C8EE07E"/>
    <w:lvl w:ilvl="0" w:tplc="DB16693A">
      <w:start w:val="1"/>
      <w:numFmt w:val="bullet"/>
      <w:lvlText w:val="•"/>
      <w:lvlJc w:val="left"/>
      <w:pPr>
        <w:ind w:left="16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4650E2">
      <w:start w:val="1"/>
      <w:numFmt w:val="bullet"/>
      <w:lvlText w:val="o"/>
      <w:lvlJc w:val="left"/>
      <w:pPr>
        <w:ind w:left="20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C98676A">
      <w:start w:val="1"/>
      <w:numFmt w:val="bullet"/>
      <w:lvlText w:val="▪"/>
      <w:lvlJc w:val="left"/>
      <w:pPr>
        <w:ind w:left="2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DAEA4A">
      <w:start w:val="1"/>
      <w:numFmt w:val="bullet"/>
      <w:lvlText w:val="•"/>
      <w:lvlJc w:val="left"/>
      <w:pPr>
        <w:ind w:left="34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100DD4">
      <w:start w:val="1"/>
      <w:numFmt w:val="bullet"/>
      <w:lvlText w:val="o"/>
      <w:lvlJc w:val="left"/>
      <w:pPr>
        <w:ind w:left="42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920D66">
      <w:start w:val="1"/>
      <w:numFmt w:val="bullet"/>
      <w:lvlText w:val="▪"/>
      <w:lvlJc w:val="left"/>
      <w:pPr>
        <w:ind w:left="49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26E766">
      <w:start w:val="1"/>
      <w:numFmt w:val="bullet"/>
      <w:lvlText w:val="•"/>
      <w:lvlJc w:val="left"/>
      <w:pPr>
        <w:ind w:left="5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44DF04">
      <w:start w:val="1"/>
      <w:numFmt w:val="bullet"/>
      <w:lvlText w:val="o"/>
      <w:lvlJc w:val="left"/>
      <w:pPr>
        <w:ind w:left="6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48318A">
      <w:start w:val="1"/>
      <w:numFmt w:val="bullet"/>
      <w:lvlText w:val="▪"/>
      <w:lvlJc w:val="left"/>
      <w:pPr>
        <w:ind w:left="7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C894AF6"/>
    <w:multiLevelType w:val="hybridMultilevel"/>
    <w:tmpl w:val="287A46AC"/>
    <w:lvl w:ilvl="0" w:tplc="AC8AD6A6">
      <w:start w:val="31"/>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7A9B4E">
      <w:start w:val="1"/>
      <w:numFmt w:val="bullet"/>
      <w:lvlText w:val="•"/>
      <w:lvlJc w:val="left"/>
      <w:pPr>
        <w:ind w:left="1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0E87A2">
      <w:start w:val="1"/>
      <w:numFmt w:val="bullet"/>
      <w:lvlText w:val="▪"/>
      <w:lvlJc w:val="left"/>
      <w:pPr>
        <w:ind w:left="2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1691A4">
      <w:start w:val="1"/>
      <w:numFmt w:val="bullet"/>
      <w:lvlText w:val="•"/>
      <w:lvlJc w:val="left"/>
      <w:pPr>
        <w:ind w:left="2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6A81C6">
      <w:start w:val="1"/>
      <w:numFmt w:val="bullet"/>
      <w:lvlText w:val="o"/>
      <w:lvlJc w:val="left"/>
      <w:pPr>
        <w:ind w:left="3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8EBCE8">
      <w:start w:val="1"/>
      <w:numFmt w:val="bullet"/>
      <w:lvlText w:val="▪"/>
      <w:lvlJc w:val="left"/>
      <w:pPr>
        <w:ind w:left="4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C819D0">
      <w:start w:val="1"/>
      <w:numFmt w:val="bullet"/>
      <w:lvlText w:val="•"/>
      <w:lvlJc w:val="left"/>
      <w:pPr>
        <w:ind w:left="4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6C2F48">
      <w:start w:val="1"/>
      <w:numFmt w:val="bullet"/>
      <w:lvlText w:val="o"/>
      <w:lvlJc w:val="left"/>
      <w:pPr>
        <w:ind w:left="5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08A672">
      <w:start w:val="1"/>
      <w:numFmt w:val="bullet"/>
      <w:lvlText w:val="▪"/>
      <w:lvlJc w:val="left"/>
      <w:pPr>
        <w:ind w:left="6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DE01601"/>
    <w:multiLevelType w:val="hybridMultilevel"/>
    <w:tmpl w:val="D67CF440"/>
    <w:lvl w:ilvl="0" w:tplc="F0C677D2">
      <w:start w:val="11"/>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FC1192">
      <w:start w:val="1"/>
      <w:numFmt w:val="bullet"/>
      <w:lvlText w:val="•"/>
      <w:lvlJc w:val="left"/>
      <w:pPr>
        <w:ind w:left="1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AE2DAC4">
      <w:start w:val="1"/>
      <w:numFmt w:val="bullet"/>
      <w:lvlText w:val="▪"/>
      <w:lvlJc w:val="left"/>
      <w:pPr>
        <w:ind w:left="1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F9CFAD2">
      <w:start w:val="1"/>
      <w:numFmt w:val="bullet"/>
      <w:lvlText w:val="•"/>
      <w:lvlJc w:val="left"/>
      <w:pPr>
        <w:ind w:left="2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4E81AE">
      <w:start w:val="1"/>
      <w:numFmt w:val="bullet"/>
      <w:lvlText w:val="o"/>
      <w:lvlJc w:val="left"/>
      <w:pPr>
        <w:ind w:left="30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EC5B82">
      <w:start w:val="1"/>
      <w:numFmt w:val="bullet"/>
      <w:lvlText w:val="▪"/>
      <w:lvlJc w:val="left"/>
      <w:pPr>
        <w:ind w:left="3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5E69CB6">
      <w:start w:val="1"/>
      <w:numFmt w:val="bullet"/>
      <w:lvlText w:val="•"/>
      <w:lvlJc w:val="left"/>
      <w:pPr>
        <w:ind w:left="4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CCD49A">
      <w:start w:val="1"/>
      <w:numFmt w:val="bullet"/>
      <w:lvlText w:val="o"/>
      <w:lvlJc w:val="left"/>
      <w:pPr>
        <w:ind w:left="51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F4C902">
      <w:start w:val="1"/>
      <w:numFmt w:val="bullet"/>
      <w:lvlText w:val="▪"/>
      <w:lvlJc w:val="left"/>
      <w:pPr>
        <w:ind w:left="59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0A012D1"/>
    <w:multiLevelType w:val="hybridMultilevel"/>
    <w:tmpl w:val="2834DB74"/>
    <w:lvl w:ilvl="0" w:tplc="994A5842">
      <w:start w:val="55"/>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AE55B8">
      <w:start w:val="1"/>
      <w:numFmt w:val="lowerLetter"/>
      <w:lvlText w:val="%2"/>
      <w:lvlJc w:val="left"/>
      <w:pPr>
        <w:ind w:left="13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908266">
      <w:start w:val="1"/>
      <w:numFmt w:val="lowerRoman"/>
      <w:lvlText w:val="%3"/>
      <w:lvlJc w:val="left"/>
      <w:pPr>
        <w:ind w:left="20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A6A4AC">
      <w:start w:val="1"/>
      <w:numFmt w:val="decimal"/>
      <w:lvlText w:val="%4"/>
      <w:lvlJc w:val="left"/>
      <w:pPr>
        <w:ind w:left="2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84D236">
      <w:start w:val="1"/>
      <w:numFmt w:val="lowerLetter"/>
      <w:lvlText w:val="%5"/>
      <w:lvlJc w:val="left"/>
      <w:pPr>
        <w:ind w:left="35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04EB64">
      <w:start w:val="1"/>
      <w:numFmt w:val="lowerRoman"/>
      <w:lvlText w:val="%6"/>
      <w:lvlJc w:val="left"/>
      <w:pPr>
        <w:ind w:left="42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F8D666">
      <w:start w:val="1"/>
      <w:numFmt w:val="decimal"/>
      <w:lvlText w:val="%7"/>
      <w:lvlJc w:val="left"/>
      <w:pPr>
        <w:ind w:left="49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BEA7FC">
      <w:start w:val="1"/>
      <w:numFmt w:val="lowerLetter"/>
      <w:lvlText w:val="%8"/>
      <w:lvlJc w:val="left"/>
      <w:pPr>
        <w:ind w:left="56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EB42A96">
      <w:start w:val="1"/>
      <w:numFmt w:val="lowerRoman"/>
      <w:lvlText w:val="%9"/>
      <w:lvlJc w:val="left"/>
      <w:pPr>
        <w:ind w:left="63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0C82383"/>
    <w:multiLevelType w:val="hybridMultilevel"/>
    <w:tmpl w:val="156A03FA"/>
    <w:lvl w:ilvl="0" w:tplc="D24E9CFA">
      <w:start w:val="57"/>
      <w:numFmt w:val="decimal"/>
      <w:lvlText w:val="%1."/>
      <w:lvlJc w:val="left"/>
      <w:pPr>
        <w:ind w:left="1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0238BC">
      <w:start w:val="1"/>
      <w:numFmt w:val="bullet"/>
      <w:lvlText w:val="•"/>
      <w:lvlJc w:val="left"/>
      <w:pPr>
        <w:ind w:left="1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D241B70">
      <w:start w:val="1"/>
      <w:numFmt w:val="bullet"/>
      <w:lvlText w:val="▪"/>
      <w:lvlJc w:val="left"/>
      <w:pPr>
        <w:ind w:left="17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4A156C">
      <w:start w:val="1"/>
      <w:numFmt w:val="bullet"/>
      <w:lvlText w:val="•"/>
      <w:lvlJc w:val="left"/>
      <w:pPr>
        <w:ind w:left="2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69B26">
      <w:start w:val="1"/>
      <w:numFmt w:val="bullet"/>
      <w:lvlText w:val="o"/>
      <w:lvlJc w:val="left"/>
      <w:pPr>
        <w:ind w:left="3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B2A9E0">
      <w:start w:val="1"/>
      <w:numFmt w:val="bullet"/>
      <w:lvlText w:val="▪"/>
      <w:lvlJc w:val="left"/>
      <w:pPr>
        <w:ind w:left="38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90C8834">
      <w:start w:val="1"/>
      <w:numFmt w:val="bullet"/>
      <w:lvlText w:val="•"/>
      <w:lvlJc w:val="left"/>
      <w:pPr>
        <w:ind w:left="4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F893A2">
      <w:start w:val="1"/>
      <w:numFmt w:val="bullet"/>
      <w:lvlText w:val="o"/>
      <w:lvlJc w:val="left"/>
      <w:pPr>
        <w:ind w:left="5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18DC32">
      <w:start w:val="1"/>
      <w:numFmt w:val="bullet"/>
      <w:lvlText w:val="▪"/>
      <w:lvlJc w:val="left"/>
      <w:pPr>
        <w:ind w:left="60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6550689"/>
    <w:multiLevelType w:val="hybridMultilevel"/>
    <w:tmpl w:val="E76A82FA"/>
    <w:lvl w:ilvl="0" w:tplc="344A41F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82B8E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28ED4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95674A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F232C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4CC92E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C29B8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E656F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76E58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8FD6CFE"/>
    <w:multiLevelType w:val="hybridMultilevel"/>
    <w:tmpl w:val="3FC24132"/>
    <w:lvl w:ilvl="0" w:tplc="8468F076">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9D7E71A2">
      <w:start w:val="1"/>
      <w:numFmt w:val="bullet"/>
      <w:lvlText w:val="o"/>
      <w:lvlJc w:val="left"/>
      <w:pPr>
        <w:ind w:left="72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94B792">
      <w:start w:val="1"/>
      <w:numFmt w:val="bullet"/>
      <w:lvlText w:val="▪"/>
      <w:lvlJc w:val="left"/>
      <w:pPr>
        <w:ind w:left="10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A444436">
      <w:start w:val="1"/>
      <w:numFmt w:val="bullet"/>
      <w:lvlRestart w:val="0"/>
      <w:lvlText w:val="o"/>
      <w:lvlJc w:val="left"/>
      <w:pPr>
        <w:ind w:left="17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7D4C2CA">
      <w:start w:val="1"/>
      <w:numFmt w:val="bullet"/>
      <w:lvlText w:val="o"/>
      <w:lvlJc w:val="left"/>
      <w:pPr>
        <w:ind w:left="21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5096E2E6">
      <w:start w:val="1"/>
      <w:numFmt w:val="bullet"/>
      <w:lvlText w:val="▪"/>
      <w:lvlJc w:val="left"/>
      <w:pPr>
        <w:ind w:left="28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84C45A4">
      <w:start w:val="1"/>
      <w:numFmt w:val="bullet"/>
      <w:lvlText w:val="•"/>
      <w:lvlJc w:val="left"/>
      <w:pPr>
        <w:ind w:left="36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A043726">
      <w:start w:val="1"/>
      <w:numFmt w:val="bullet"/>
      <w:lvlText w:val="o"/>
      <w:lvlJc w:val="left"/>
      <w:pPr>
        <w:ind w:left="43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89CCC40">
      <w:start w:val="1"/>
      <w:numFmt w:val="bullet"/>
      <w:lvlText w:val="▪"/>
      <w:lvlJc w:val="left"/>
      <w:pPr>
        <w:ind w:left="50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B1E2CA1"/>
    <w:multiLevelType w:val="hybridMultilevel"/>
    <w:tmpl w:val="C6F89872"/>
    <w:lvl w:ilvl="0" w:tplc="E30A77E0">
      <w:start w:val="1"/>
      <w:numFmt w:val="decimal"/>
      <w:lvlText w:val="%1."/>
      <w:lvlJc w:val="left"/>
      <w:pPr>
        <w:ind w:left="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781842">
      <w:start w:val="1"/>
      <w:numFmt w:val="bullet"/>
      <w:lvlText w:val="•"/>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063FC8">
      <w:start w:val="1"/>
      <w:numFmt w:val="bullet"/>
      <w:lvlText w:val="▪"/>
      <w:lvlJc w:val="left"/>
      <w:pPr>
        <w:ind w:left="17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9CC7A0">
      <w:start w:val="1"/>
      <w:numFmt w:val="bullet"/>
      <w:lvlText w:val="•"/>
      <w:lvlJc w:val="left"/>
      <w:pPr>
        <w:ind w:left="24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6C4F5E">
      <w:start w:val="1"/>
      <w:numFmt w:val="bullet"/>
      <w:lvlText w:val="o"/>
      <w:lvlJc w:val="left"/>
      <w:pPr>
        <w:ind w:left="31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FA1FE6">
      <w:start w:val="1"/>
      <w:numFmt w:val="bullet"/>
      <w:lvlText w:val="▪"/>
      <w:lvlJc w:val="left"/>
      <w:pPr>
        <w:ind w:left="38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2C8090">
      <w:start w:val="1"/>
      <w:numFmt w:val="bullet"/>
      <w:lvlText w:val="•"/>
      <w:lvlJc w:val="left"/>
      <w:pPr>
        <w:ind w:left="46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DC0F96">
      <w:start w:val="1"/>
      <w:numFmt w:val="bullet"/>
      <w:lvlText w:val="o"/>
      <w:lvlJc w:val="left"/>
      <w:pPr>
        <w:ind w:left="53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CE10B0">
      <w:start w:val="1"/>
      <w:numFmt w:val="bullet"/>
      <w:lvlText w:val="▪"/>
      <w:lvlJc w:val="left"/>
      <w:pPr>
        <w:ind w:left="60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AB9559A"/>
    <w:multiLevelType w:val="hybridMultilevel"/>
    <w:tmpl w:val="96DCF8D2"/>
    <w:lvl w:ilvl="0" w:tplc="559469E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CCCE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3C2A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CECD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98DC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8CA15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B72391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E9EBDD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08C89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7D3229DB"/>
    <w:multiLevelType w:val="hybridMultilevel"/>
    <w:tmpl w:val="E806D0D0"/>
    <w:lvl w:ilvl="0" w:tplc="6AEA27B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848680">
      <w:start w:val="1"/>
      <w:numFmt w:val="bullet"/>
      <w:lvlText w:val="o"/>
      <w:lvlJc w:val="left"/>
      <w:pPr>
        <w:ind w:left="7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6A61BE">
      <w:start w:val="1"/>
      <w:numFmt w:val="bullet"/>
      <w:lvlRestart w:val="0"/>
      <w:lvlText w:val="•"/>
      <w:lvlJc w:val="left"/>
      <w:pPr>
        <w:ind w:left="16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16B510">
      <w:start w:val="1"/>
      <w:numFmt w:val="bullet"/>
      <w:lvlText w:val="•"/>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5679C4">
      <w:start w:val="1"/>
      <w:numFmt w:val="bullet"/>
      <w:lvlText w:val="o"/>
      <w:lvlJc w:val="left"/>
      <w:pPr>
        <w:ind w:left="2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9E3AE6">
      <w:start w:val="1"/>
      <w:numFmt w:val="bullet"/>
      <w:lvlText w:val="▪"/>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240930">
      <w:start w:val="1"/>
      <w:numFmt w:val="bullet"/>
      <w:lvlText w:val="•"/>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7439F0">
      <w:start w:val="1"/>
      <w:numFmt w:val="bullet"/>
      <w:lvlText w:val="o"/>
      <w:lvlJc w:val="left"/>
      <w:pPr>
        <w:ind w:left="4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CF00EDE">
      <w:start w:val="1"/>
      <w:numFmt w:val="bullet"/>
      <w:lvlText w:val="▪"/>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79752050">
    <w:abstractNumId w:val="26"/>
  </w:num>
  <w:num w:numId="2" w16cid:durableId="599918651">
    <w:abstractNumId w:val="2"/>
  </w:num>
  <w:num w:numId="3" w16cid:durableId="95759827">
    <w:abstractNumId w:val="21"/>
  </w:num>
  <w:num w:numId="4" w16cid:durableId="1824929888">
    <w:abstractNumId w:val="25"/>
  </w:num>
  <w:num w:numId="5" w16cid:durableId="734477985">
    <w:abstractNumId w:val="4"/>
  </w:num>
  <w:num w:numId="6" w16cid:durableId="2039550557">
    <w:abstractNumId w:val="28"/>
  </w:num>
  <w:num w:numId="7" w16cid:durableId="510267272">
    <w:abstractNumId w:val="19"/>
  </w:num>
  <w:num w:numId="8" w16cid:durableId="1358657881">
    <w:abstractNumId w:val="12"/>
  </w:num>
  <w:num w:numId="9" w16cid:durableId="2104908461">
    <w:abstractNumId w:val="8"/>
  </w:num>
  <w:num w:numId="10" w16cid:durableId="111216526">
    <w:abstractNumId w:val="13"/>
  </w:num>
  <w:num w:numId="11" w16cid:durableId="2008249081">
    <w:abstractNumId w:val="20"/>
  </w:num>
  <w:num w:numId="12" w16cid:durableId="1218518592">
    <w:abstractNumId w:val="18"/>
  </w:num>
  <w:num w:numId="13" w16cid:durableId="412430640">
    <w:abstractNumId w:val="0"/>
  </w:num>
  <w:num w:numId="14" w16cid:durableId="1381631462">
    <w:abstractNumId w:val="16"/>
  </w:num>
  <w:num w:numId="15" w16cid:durableId="298923333">
    <w:abstractNumId w:val="17"/>
  </w:num>
  <w:num w:numId="16" w16cid:durableId="2124570648">
    <w:abstractNumId w:val="22"/>
  </w:num>
  <w:num w:numId="17" w16cid:durableId="1869029833">
    <w:abstractNumId w:val="23"/>
  </w:num>
  <w:num w:numId="18" w16cid:durableId="1571882636">
    <w:abstractNumId w:val="14"/>
  </w:num>
  <w:num w:numId="19" w16cid:durableId="1928225990">
    <w:abstractNumId w:val="3"/>
  </w:num>
  <w:num w:numId="20" w16cid:durableId="39939387">
    <w:abstractNumId w:val="7"/>
  </w:num>
  <w:num w:numId="21" w16cid:durableId="708261493">
    <w:abstractNumId w:val="11"/>
  </w:num>
  <w:num w:numId="22" w16cid:durableId="1923251401">
    <w:abstractNumId w:val="10"/>
  </w:num>
  <w:num w:numId="23" w16cid:durableId="1266763485">
    <w:abstractNumId w:val="15"/>
  </w:num>
  <w:num w:numId="24" w16cid:durableId="1450515474">
    <w:abstractNumId w:val="24"/>
  </w:num>
  <w:num w:numId="25" w16cid:durableId="407844174">
    <w:abstractNumId w:val="5"/>
  </w:num>
  <w:num w:numId="26" w16cid:durableId="372537939">
    <w:abstractNumId w:val="1"/>
  </w:num>
  <w:num w:numId="27" w16cid:durableId="345638542">
    <w:abstractNumId w:val="9"/>
  </w:num>
  <w:num w:numId="28" w16cid:durableId="1774206018">
    <w:abstractNumId w:val="6"/>
  </w:num>
  <w:num w:numId="29" w16cid:durableId="16171756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2C3"/>
    <w:rsid w:val="00004ECC"/>
    <w:rsid w:val="00324E68"/>
    <w:rsid w:val="00A93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34E0B"/>
  <w15:docId w15:val="{2380C0BF-415A-4D16-A49B-7A921A6FD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7" w:line="250"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 w:line="259" w:lineRule="auto"/>
      <w:ind w:left="11" w:hanging="10"/>
      <w:outlineLvl w:val="0"/>
    </w:pPr>
    <w:rPr>
      <w:rFonts w:ascii="Arial" w:eastAsia="Arial" w:hAnsi="Arial" w:cs="Arial"/>
      <w:b/>
      <w:color w:val="0F4761"/>
      <w:sz w:val="28"/>
    </w:rPr>
  </w:style>
  <w:style w:type="paragraph" w:styleId="Heading2">
    <w:name w:val="heading 2"/>
    <w:next w:val="Normal"/>
    <w:link w:val="Heading2Char"/>
    <w:uiPriority w:val="9"/>
    <w:unhideWhenUsed/>
    <w:qFormat/>
    <w:pPr>
      <w:keepNext/>
      <w:keepLines/>
      <w:spacing w:after="1" w:line="259" w:lineRule="auto"/>
      <w:ind w:left="11" w:hanging="10"/>
      <w:outlineLvl w:val="1"/>
    </w:pPr>
    <w:rPr>
      <w:rFonts w:ascii="Arial" w:eastAsia="Arial" w:hAnsi="Arial" w:cs="Arial"/>
      <w:b/>
      <w:color w:val="0F4761"/>
      <w:sz w:val="28"/>
    </w:rPr>
  </w:style>
  <w:style w:type="paragraph" w:styleId="Heading3">
    <w:name w:val="heading 3"/>
    <w:next w:val="Normal"/>
    <w:link w:val="Heading3Char"/>
    <w:uiPriority w:val="9"/>
    <w:unhideWhenUsed/>
    <w:qFormat/>
    <w:pPr>
      <w:keepNext/>
      <w:keepLines/>
      <w:spacing w:after="158" w:line="259" w:lineRule="auto"/>
      <w:ind w:left="290" w:hanging="10"/>
      <w:outlineLvl w:val="2"/>
    </w:pPr>
    <w:rPr>
      <w:rFonts w:ascii="Arial" w:eastAsia="Arial" w:hAnsi="Arial" w:cs="Arial"/>
      <w:b/>
      <w:color w:val="0F4761"/>
    </w:rPr>
  </w:style>
  <w:style w:type="paragraph" w:styleId="Heading4">
    <w:name w:val="heading 4"/>
    <w:next w:val="Normal"/>
    <w:link w:val="Heading4Char"/>
    <w:uiPriority w:val="9"/>
    <w:unhideWhenUsed/>
    <w:qFormat/>
    <w:pPr>
      <w:keepNext/>
      <w:keepLines/>
      <w:spacing w:after="265" w:line="259" w:lineRule="auto"/>
      <w:ind w:left="290" w:hanging="10"/>
      <w:outlineLvl w:val="3"/>
    </w:pPr>
    <w:rPr>
      <w:rFonts w:ascii="Arial" w:eastAsia="Arial" w:hAnsi="Arial" w:cs="Arial"/>
      <w:b/>
      <w:color w:val="104F7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104F75"/>
      <w:sz w:val="24"/>
    </w:rPr>
  </w:style>
  <w:style w:type="character" w:customStyle="1" w:styleId="Heading2Char">
    <w:name w:val="Heading 2 Char"/>
    <w:link w:val="Heading2"/>
    <w:rPr>
      <w:rFonts w:ascii="Arial" w:eastAsia="Arial" w:hAnsi="Arial" w:cs="Arial"/>
      <w:b/>
      <w:color w:val="0F4761"/>
      <w:sz w:val="28"/>
    </w:rPr>
  </w:style>
  <w:style w:type="paragraph" w:customStyle="1" w:styleId="footnotedescription">
    <w:name w:val="footnote description"/>
    <w:next w:val="Normal"/>
    <w:link w:val="footnotedescriptionChar"/>
    <w:hidden/>
    <w:pPr>
      <w:spacing w:after="127" w:line="259" w:lineRule="auto"/>
      <w:ind w:left="1"/>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Heading3Char">
    <w:name w:val="Heading 3 Char"/>
    <w:link w:val="Heading3"/>
    <w:rPr>
      <w:rFonts w:ascii="Arial" w:eastAsia="Arial" w:hAnsi="Arial" w:cs="Arial"/>
      <w:b/>
      <w:color w:val="0F4761"/>
      <w:sz w:val="24"/>
    </w:rPr>
  </w:style>
  <w:style w:type="character" w:customStyle="1" w:styleId="Heading1Char">
    <w:name w:val="Heading 1 Char"/>
    <w:link w:val="Heading1"/>
    <w:rPr>
      <w:rFonts w:ascii="Arial" w:eastAsia="Arial" w:hAnsi="Arial" w:cs="Arial"/>
      <w:b/>
      <w:color w:val="0F4761"/>
      <w:sz w:val="28"/>
    </w:rPr>
  </w:style>
  <w:style w:type="paragraph" w:styleId="TOC1">
    <w:name w:val="toc 1"/>
    <w:hidden/>
    <w:pPr>
      <w:spacing w:after="167" w:line="250" w:lineRule="auto"/>
      <w:ind w:left="306" w:right="27" w:hanging="10"/>
    </w:pPr>
    <w:rPr>
      <w:rFonts w:ascii="Arial" w:eastAsia="Arial" w:hAnsi="Arial" w:cs="Arial"/>
      <w:color w:val="00000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www.cyberchoices.uk/" TargetMode="External"/><Relationship Id="rId21"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324" Type="http://schemas.openxmlformats.org/officeDocument/2006/relationships/hyperlink" Target="https://www.childrenssociety.org.uk/information/professionals/resources/county-lines-toolkit" TargetMode="External"/><Relationship Id="rId531" Type="http://schemas.openxmlformats.org/officeDocument/2006/relationships/hyperlink" Target="https://learning.nspcc.org.uk/research-resources/2019/harmful-sexual-behaviour-framework" TargetMode="External"/><Relationship Id="rId170" Type="http://schemas.openxmlformats.org/officeDocument/2006/relationships/hyperlink" Target="https://www.gov.uk/government/publications/modern-slavery-training-resource-page/modern-slavery-training-resource-page" TargetMode="External"/><Relationship Id="rId268"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75" Type="http://schemas.openxmlformats.org/officeDocument/2006/relationships/hyperlink" Target="https://www.gov.uk/government/publications/tackling-violence-against-women-and-girls-strategy" TargetMode="External"/><Relationship Id="rId32" Type="http://schemas.openxmlformats.org/officeDocument/2006/relationships/hyperlink" Target="https://www.gov.uk/government/publications/what-to-do-if-youre-worried-a-child-is-being-abused--2" TargetMode="External"/><Relationship Id="rId128" Type="http://schemas.openxmlformats.org/officeDocument/2006/relationships/hyperlink" Target="https://assets.publishing.service.gov.uk/media/690cd04e276dd02bc451ab66/Operation%2BEncompass%2BStatutory%2BGuidance.pdf" TargetMode="External"/><Relationship Id="rId335" Type="http://schemas.openxmlformats.org/officeDocument/2006/relationships/hyperlink" Target="https://gbr01.safelinks.protection.outlook.com/?url=https%3A%2F%2Fwww.missingpeople.org.uk%2Fget-help%2Fhelp-services%2Fexploitation-and-county-lines&amp;data=05%7C02%7CSamantha.Darby1%40homeoffice.gov.uk%7Cc147a546ba4d436ec2c208de0afde04a%7Cf24d93ecb2914192a08af182245945c2%7C0%7C0%7C638960282679626292%7CUnknown%7CTWFpbGZsb3d8eyJFbXB0eU1hcGkiOnRydWUsIlYiOiIwLjAuMDAwMCIsIlAiOiJXaW4zMiIsIkFOIjoiTWFpbCIsIldUIjoyfQ%3D%3D%7C0%7C%7C%7C&amp;sdata=7SBhRZHu2lyx7CQTD0iSAXo%2FddWJsLFvHYSNgK2F%2FRo%3D&amp;reserved=0" TargetMode="External"/><Relationship Id="rId542" Type="http://schemas.openxmlformats.org/officeDocument/2006/relationships/hyperlink" Target="https://www.childnet.com/resources/star-send-toolkit" TargetMode="External"/><Relationship Id="rId181" Type="http://schemas.openxmlformats.org/officeDocument/2006/relationships/hyperlink" Target="https://www.gov.uk/guidance/making-a-referral-to-prevent" TargetMode="External"/><Relationship Id="rId402" Type="http://schemas.openxmlformats.org/officeDocument/2006/relationships/hyperlink" Target="https://www.gov.uk/guidance/safeguarding-and-remote-education-during-coronavirus-covid-19" TargetMode="External"/><Relationship Id="rId279" Type="http://schemas.openxmlformats.org/officeDocument/2006/relationships/hyperlink" Target="https://www.gov.uk/domestic-violence-and-abuse" TargetMode="External"/><Relationship Id="rId486"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43" Type="http://schemas.openxmlformats.org/officeDocument/2006/relationships/hyperlink" Target="https://www.gov.uk/government/publications/working-together-to-safeguard-children--2" TargetMode="External"/><Relationship Id="rId139" Type="http://schemas.openxmlformats.org/officeDocument/2006/relationships/hyperlink" Target="https://www.gov.uk/government/publications/keeping-children-safe-in-education--2" TargetMode="External"/><Relationship Id="rId346" Type="http://schemas.openxmlformats.org/officeDocument/2006/relationships/hyperlink" Target="https://www.gov.uk/government/collections/female-genital-mutilation" TargetMode="External"/><Relationship Id="rId55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2" Type="http://schemas.openxmlformats.org/officeDocument/2006/relationships/hyperlink" Target="https://www.support-people-vulnerable-to-radicalisation.service.gov.uk/portal" TargetMode="External"/><Relationship Id="rId206" Type="http://schemas.openxmlformats.org/officeDocument/2006/relationships/hyperlink" Target="https://educateagainsthate.com/" TargetMode="External"/><Relationship Id="rId413" Type="http://schemas.openxmlformats.org/officeDocument/2006/relationships/hyperlink" Target="https://reportharmfulcontent.com/" TargetMode="External"/><Relationship Id="rId497" Type="http://schemas.openxmlformats.org/officeDocument/2006/relationships/hyperlink" Target="https://www.thesurvivorstrust.org/" TargetMode="External"/><Relationship Id="rId357" Type="http://schemas.openxmlformats.org/officeDocument/2006/relationships/hyperlink" Target="https://www.pshe-association.org.uk/curriculum-and-resources/resources/rise-above-schools-teaching-resources" TargetMode="External"/><Relationship Id="rId54" Type="http://schemas.openxmlformats.org/officeDocument/2006/relationships/hyperlink" Target="https://www.contextualsafeguarding.org.uk/" TargetMode="External"/><Relationship Id="rId217" Type="http://schemas.openxmlformats.org/officeDocument/2006/relationships/hyperlink" Target="https://etfoundation.co.uk/professional-development/etf-offer-by-topics/safeguarding-and-prevent/" TargetMode="External"/><Relationship Id="rId564" Type="http://schemas.openxmlformats.org/officeDocument/2006/relationships/hyperlink" Target="https://www.ceopeducation.co.uk/parents/ask-the-awkward/" TargetMode="External"/><Relationship Id="rId424" Type="http://schemas.openxmlformats.org/officeDocument/2006/relationships/hyperlink" Target="https://www.internetmatters.org/?gclid=EAIaIQobChMIktuA5LWK2wIVRYXVCh2afg2aEAAYASAAEgIJ5vD_BwE" TargetMode="External"/><Relationship Id="rId270" Type="http://schemas.openxmlformats.org/officeDocument/2006/relationships/hyperlink" Target="https://www.csacentre.org.uk/research-resources/practice-resources/helping-education-settings-identify-and-respond-to-concerns/" TargetMode="External"/><Relationship Id="rId65" Type="http://schemas.openxmlformats.org/officeDocument/2006/relationships/hyperlink" Target="https://www.gov.uk/government/publications/working-together-to-safeguard-children--2" TargetMode="External"/><Relationship Id="rId130" Type="http://schemas.openxmlformats.org/officeDocument/2006/relationships/hyperlink" Target="https://assets.publishing.service.gov.uk/media/690cd04e276dd02bc451ab66/Operation%2BEncompass%2BStatutory%2BGuidance.pdf" TargetMode="External"/><Relationship Id="rId368" Type="http://schemas.openxmlformats.org/officeDocument/2006/relationships/hyperlink" Target="https://www.gov.uk/government/publications/safeguarding-practitioners-information-sharing-advice" TargetMode="External"/><Relationship Id="rId575" Type="http://schemas.openxmlformats.org/officeDocument/2006/relationships/hyperlink" Target="http://www.facebook.com/educationgovuk" TargetMode="External"/><Relationship Id="rId228" Type="http://schemas.openxmlformats.org/officeDocument/2006/relationships/hyperlink" Target="https://www.gov.uk/government/publications/criminal-exploitation-of-children-and-vulnerable-adults-county-lines" TargetMode="External"/><Relationship Id="rId435" Type="http://schemas.openxmlformats.org/officeDocument/2006/relationships/hyperlink" Target="https://www.ceopeducation.co.uk/" TargetMode="External"/><Relationship Id="rId281" Type="http://schemas.openxmlformats.org/officeDocument/2006/relationships/hyperlink" Target="https://www.gov.uk/government/publications/national-action-plan-to-tackle-child-abuse-linked-to-faith-or-belief" TargetMode="External"/><Relationship Id="rId502"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34" Type="http://schemas.openxmlformats.org/officeDocument/2006/relationships/hyperlink" Target="https://www.nspcc.org.uk/keeping-children-safe/types-of-abuse/?utm_old=types" TargetMode="External"/><Relationship Id="rId76" Type="http://schemas.openxmlformats.org/officeDocument/2006/relationships/hyperlink" Target="https://www.gov.uk/government/publications/working-together-to-safeguard-children--2" TargetMode="External"/><Relationship Id="rId141" Type="http://schemas.openxmlformats.org/officeDocument/2006/relationships/hyperlink" Target="https://www.gov.uk/government/publications/working-together-to-safeguard-children--2" TargetMode="External"/><Relationship Id="rId379" Type="http://schemas.openxmlformats.org/officeDocument/2006/relationships/hyperlink" Target="https://learning.nspcc.org.uk/research-resources/schools/e-safety-for-schools" TargetMode="External"/><Relationship Id="rId544" Type="http://schemas.openxmlformats.org/officeDocument/2006/relationships/hyperlink" Target="https://www.childnet.com/resources/just-a-joke/" TargetMode="External"/><Relationship Id="rId7" Type="http://schemas.openxmlformats.org/officeDocument/2006/relationships/image" Target="media/image1.png"/><Relationship Id="rId183" Type="http://schemas.openxmlformats.org/officeDocument/2006/relationships/hyperlink" Target="https://www.gov.uk/guidance/making-a-referral-to-prevent" TargetMode="External"/><Relationship Id="rId239" Type="http://schemas.openxmlformats.org/officeDocument/2006/relationships/hyperlink" Target="https://www.gov.uk/government/collections/the-police-crime-sentencing-and-courts-bill" TargetMode="External"/><Relationship Id="rId390" Type="http://schemas.openxmlformats.org/officeDocument/2006/relationships/hyperlink" Target="https://www.gov.uk/government/collections/a-business-guide-for-protecting-children-on-your-online-platform" TargetMode="External"/><Relationship Id="rId404" Type="http://schemas.openxmlformats.org/officeDocument/2006/relationships/hyperlink" Target="https://remotesafe.lgfl.net/" TargetMode="External"/><Relationship Id="rId446" Type="http://schemas.openxmlformats.org/officeDocument/2006/relationships/hyperlink" Target="https://www.gov.uk/government/publications/children-act-1989-private-fostering" TargetMode="External"/><Relationship Id="rId250" Type="http://schemas.openxmlformats.org/officeDocument/2006/relationships/hyperlink" Target="https://www.gov.uk/government/publications/mandatory-reporting-of-female-genital-mutilation-procedural-information" TargetMode="External"/><Relationship Id="rId292" Type="http://schemas.openxmlformats.org/officeDocument/2006/relationships/hyperlink" Target="https://www.gov.uk/government/publications/children-missing-education" TargetMode="External"/><Relationship Id="rId306"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488" Type="http://schemas.openxmlformats.org/officeDocument/2006/relationships/hyperlink" Target="https://rapecrisis.org.uk/" TargetMode="External"/><Relationship Id="rId45" Type="http://schemas.openxmlformats.org/officeDocument/2006/relationships/hyperlink" Target="https://www.gov.uk/government/publications/working-together-to-safeguard-children--2" TargetMode="External"/><Relationship Id="rId87"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10" Type="http://schemas.openxmlformats.org/officeDocument/2006/relationships/hyperlink" Target="https://www.gov.uk/government/publications/young-witness-booklet-for-5-to-11-year-olds" TargetMode="External"/><Relationship Id="rId348" Type="http://schemas.openxmlformats.org/officeDocument/2006/relationships/hyperlink" Target="https://www.gov.uk/government/publications/multi-agency-statutory-guidance-on-female-genital-mutilation" TargetMode="External"/><Relationship Id="rId513" Type="http://schemas.openxmlformats.org/officeDocument/2006/relationships/hyperlink" Target="https://www.contextualsafeguarding.org.uk/resources/toolkit-overview/beyond-referrals-harmful-sexual-behaviour/" TargetMode="External"/><Relationship Id="rId55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52" Type="http://schemas.openxmlformats.org/officeDocument/2006/relationships/hyperlink" Target="https://www.nspcc.org.uk/preventing-abuse/child-abuse-and-neglect/domestic-abuse/signs-symptoms-effects/" TargetMode="External"/><Relationship Id="rId194" Type="http://schemas.openxmlformats.org/officeDocument/2006/relationships/hyperlink" Target="https://www.support-people-vulnerable-to-radicalisation.service.gov.uk/portal" TargetMode="External"/><Relationship Id="rId208" Type="http://schemas.openxmlformats.org/officeDocument/2006/relationships/hyperlink" Target="https://etfoundation.co.uk/professional-development/etf-offer-by-topics/safeguarding-and-prevent/" TargetMode="External"/><Relationship Id="rId415" Type="http://schemas.openxmlformats.org/officeDocument/2006/relationships/hyperlink" Target="https://www.ceop.police.uk/safety-centre/" TargetMode="External"/><Relationship Id="rId457" Type="http://schemas.openxmlformats.org/officeDocument/2006/relationships/hyperlink" Target="http://preventforfeandtraining.org.uk/" TargetMode="External"/><Relationship Id="rId261" Type="http://schemas.openxmlformats.org/officeDocument/2006/relationships/hyperlink" Target="https://www.gov.uk/government/publications/multi-agency-statutory-guidance-on-female-genital-mutilation" TargetMode="External"/><Relationship Id="rId499" Type="http://schemas.openxmlformats.org/officeDocument/2006/relationships/hyperlink" Target="https://www.nice.org.uk/guidance/ng55" TargetMode="External"/><Relationship Id="rId14" Type="http://schemas.openxmlformats.org/officeDocument/2006/relationships/hyperlink" Target="https://www.gov.uk/government/publications/working-together-to-safeguard-children--2" TargetMode="External"/><Relationship Id="rId56" Type="http://schemas.openxmlformats.org/officeDocument/2006/relationships/hyperlink" Target="https://www.contextualsafeguarding.org.uk/" TargetMode="External"/><Relationship Id="rId317" Type="http://schemas.openxmlformats.org/officeDocument/2006/relationships/hyperlink" Target="https://www.gov.uk/government/publications/modern-slavery-how-to-identify-and-support-victims" TargetMode="External"/><Relationship Id="rId359" Type="http://schemas.openxmlformats.org/officeDocument/2006/relationships/hyperlink" Target="https://www.gov.uk/government/publications/supporting-pupils-at-school-with-medical-conditions--3" TargetMode="External"/><Relationship Id="rId524" Type="http://schemas.openxmlformats.org/officeDocument/2006/relationships/hyperlink" Target="https://www.victimsupport.org.uk/" TargetMode="External"/><Relationship Id="rId566" Type="http://schemas.openxmlformats.org/officeDocument/2006/relationships/hyperlink" Target="http://www.nationalarchives.gov.uk/doc/open-government-licence/version/3" TargetMode="External"/><Relationship Id="rId9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21" Type="http://schemas.openxmlformats.org/officeDocument/2006/relationships/hyperlink" Target="https://www.npcc.police.uk/SysSiteAssets/media/downloads/publications/publications-log/2020/when-to-call-the-police--guidance-for-schools-and-colleges.pdf" TargetMode="External"/><Relationship Id="rId163" Type="http://schemas.openxmlformats.org/officeDocument/2006/relationships/hyperlink" Target="https://www.gov.uk/government/publications/controlling-or-coercive-behaviour-statutory-guidance-framework/controlling-or-coercive-behaviour-statutory-guidance-framework-accessible" TargetMode="External"/><Relationship Id="rId219" Type="http://schemas.openxmlformats.org/officeDocument/2006/relationships/hyperlink" Target="https://prevent.lgfl.net/" TargetMode="External"/><Relationship Id="rId370" Type="http://schemas.openxmlformats.org/officeDocument/2006/relationships/hyperlink" Target="https://ico.org.uk/for-organisations/data-sharing-information-hub/" TargetMode="External"/><Relationship Id="rId426" Type="http://schemas.openxmlformats.org/officeDocument/2006/relationships/hyperlink" Target="https://www.mariecollinsfoundation.org.uk/" TargetMode="External"/><Relationship Id="rId230" Type="http://schemas.openxmlformats.org/officeDocument/2006/relationships/hyperlink" Target="https://www.gov.uk/government/publications/criminal-exploitation-of-children-and-vulnerable-adults-county-lines" TargetMode="External"/><Relationship Id="rId468" Type="http://schemas.openxmlformats.org/officeDocument/2006/relationships/hyperlink" Target="https://assets.publishing.service.gov.uk/government/uploads/system/uploads/attachment_data/file/819840/analysis-of-indicators-of-serious-violence-horr110.pdf" TargetMode="External"/><Relationship Id="rId25" Type="http://schemas.openxmlformats.org/officeDocument/2006/relationships/hyperlink" Target="https://youthendowmentfund.org.uk/" TargetMode="External"/><Relationship Id="rId67" Type="http://schemas.openxmlformats.org/officeDocument/2006/relationships/hyperlink" Target="https://www.legislation.gov.uk/ukpga/1989/41/section/47" TargetMode="External"/><Relationship Id="rId272" Type="http://schemas.openxmlformats.org/officeDocument/2006/relationships/hyperlink" Target="https://www.csacentre.org.uk/research-resources/practice-resources/helping-education-settings-identify-and-respond-to-concerns/" TargetMode="External"/><Relationship Id="rId328" Type="http://schemas.openxmlformats.org/officeDocument/2006/relationships/hyperlink" Target="https://tce.researchinpractice.org.uk/" TargetMode="External"/><Relationship Id="rId535" Type="http://schemas.openxmlformats.org/officeDocument/2006/relationships/hyperlink" Target="https://learning.nspcc.org.uk/research-resources/2019/harmful-sexual-behaviour-framework" TargetMode="External"/><Relationship Id="rId577" Type="http://schemas.openxmlformats.org/officeDocument/2006/relationships/footer" Target="footer5.xml"/><Relationship Id="rId132" Type="http://schemas.openxmlformats.org/officeDocument/2006/relationships/hyperlink" Target="https://assets.publishing.service.gov.uk/media/690cd04e276dd02bc451ab66/Operation%2BEncompass%2BStatutory%2BGuidance.pdf" TargetMode="External"/><Relationship Id="rId174" Type="http://schemas.openxmlformats.org/officeDocument/2006/relationships/hyperlink" Target="https://www.gov.uk/government/publications/modern-slavery-how-to-identify-and-support-victims" TargetMode="External"/><Relationship Id="rId381" Type="http://schemas.openxmlformats.org/officeDocument/2006/relationships/hyperlink" Target="https://www.saferrecruitmentconsortium.org/" TargetMode="External"/><Relationship Id="rId241" Type="http://schemas.openxmlformats.org/officeDocument/2006/relationships/hyperlink" Target="https://assets.publishing.service.gov.uk/media/639b2ec3e90e072186e1803c/Final_Serious_Violence_Duty_Statutory_Guidance_-_December_2022.pdf" TargetMode="External"/><Relationship Id="rId437" Type="http://schemas.openxmlformats.org/officeDocument/2006/relationships/hyperlink" Target="https://parentzone.org.uk/" TargetMode="External"/><Relationship Id="rId479" Type="http://schemas.openxmlformats.org/officeDocument/2006/relationships/hyperlink" Target="https://www.gov.uk/government/publications/violence-against-women-and-girls-national-statement-of-expectations" TargetMode="External"/><Relationship Id="rId36" Type="http://schemas.openxmlformats.org/officeDocument/2006/relationships/hyperlink" Target="https://www.gov.uk/government/publications/safeguarding-practitioners-information-sharing-advice" TargetMode="External"/><Relationship Id="rId283" Type="http://schemas.openxmlformats.org/officeDocument/2006/relationships/hyperlink" Target="https://www.gov.uk/government/publications/forced-marriage-resource-pack" TargetMode="External"/><Relationship Id="rId339" Type="http://schemas.openxmlformats.org/officeDocument/2006/relationships/hyperlink" Target="https://www.nspcc.org.uk/preventing-abuse/child-protection-system/legal-definition-child-rights-law/gillick-competency-fraser-guidelines/" TargetMode="External"/><Relationship Id="rId490" Type="http://schemas.openxmlformats.org/officeDocument/2006/relationships/hyperlink" Target="https://www.saferinternet.org.uk/" TargetMode="External"/><Relationship Id="rId504" Type="http://schemas.openxmlformats.org/officeDocument/2006/relationships/hyperlink" Target="https://shorespace.org.uk/" TargetMode="External"/><Relationship Id="rId546" Type="http://schemas.openxmlformats.org/officeDocument/2006/relationships/hyperlink" Target="https://www.childnet.com/resources/step-up-speak-up" TargetMode="External"/><Relationship Id="rId78" Type="http://schemas.openxmlformats.org/officeDocument/2006/relationships/hyperlink" Target="https://www.gov.uk/whistleblowing" TargetMode="External"/><Relationship Id="rId101"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143" Type="http://schemas.openxmlformats.org/officeDocument/2006/relationships/hyperlink" Target="https://www.operationencompass.org/operation-encompass-on-line-key-adult-briefing" TargetMode="External"/><Relationship Id="rId185" Type="http://schemas.openxmlformats.org/officeDocument/2006/relationships/hyperlink" Target="https://www.gov.uk/government/publications/prevent-duty-guidance" TargetMode="External"/><Relationship Id="rId350" Type="http://schemas.openxmlformats.org/officeDocument/2006/relationships/hyperlink" Target="https://www.gov.uk/guidance/forced-marriage" TargetMode="External"/><Relationship Id="rId406" Type="http://schemas.openxmlformats.org/officeDocument/2006/relationships/hyperlink" Target="https://www.ncsc.gov.uk/guidance/video-conferencing-services-security-guidance-organisations" TargetMode="External"/><Relationship Id="rId9" Type="http://schemas.openxmlformats.org/officeDocument/2006/relationships/hyperlink" Target="https://www.gov.uk/government/publications/keeping-children-safe-in-education--2" TargetMode="External"/><Relationship Id="rId210" Type="http://schemas.openxmlformats.org/officeDocument/2006/relationships/hyperlink" Target="https://etfoundation.co.uk/professional-development/etf-offer-by-topics/safeguarding-and-prevent/" TargetMode="External"/><Relationship Id="rId392" Type="http://schemas.openxmlformats.org/officeDocument/2006/relationships/hyperlink" Target="https://www.gov.uk/government/collections/a-business-guide-for-protecting-children-on-your-online-platform" TargetMode="External"/><Relationship Id="rId448" Type="http://schemas.openxmlformats.org/officeDocument/2006/relationships/hyperlink" Target="https://www.gov.uk/government/publications/prevent-duty-guidance" TargetMode="External"/><Relationship Id="rId252" Type="http://schemas.openxmlformats.org/officeDocument/2006/relationships/hyperlink" Target="https://www.gov.uk/government/publications/mandatory-reporting-of-female-genital-mutilation-procedural-information" TargetMode="External"/><Relationship Id="rId294" Type="http://schemas.openxmlformats.org/officeDocument/2006/relationships/hyperlink" Target="https://www.gov.uk/government/publications/children-who-run-away-or-go-missing-from-home-or-care" TargetMode="External"/><Relationship Id="rId30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515" Type="http://schemas.openxmlformats.org/officeDocument/2006/relationships/hyperlink" Target="https://www.stopitnow.org.uk/concerned-about-a-child-or-young-persons-sexual-behaviour/preventing-harmful-sexual-behaviour/"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89"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12" Type="http://schemas.openxmlformats.org/officeDocument/2006/relationships/hyperlink" Target="https://www.gov.uk/government/publications/young-witness-booklet-for-12-to-17-year-olds" TargetMode="External"/><Relationship Id="rId154" Type="http://schemas.openxmlformats.org/officeDocument/2006/relationships/hyperlink" Target="https://refuge.org.uk/what-is-domestic-abuse/" TargetMode="External"/><Relationship Id="rId361" Type="http://schemas.openxmlformats.org/officeDocument/2006/relationships/hyperlink" Target="https://www.gov.uk/government/publications/mental-health-and-behaviour-in-schools--2" TargetMode="External"/><Relationship Id="rId55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6" Type="http://schemas.openxmlformats.org/officeDocument/2006/relationships/hyperlink" Target="https://www.gov.uk/government/publications/the-prevent-duty-safeguarding-learners-vulnerable-to-radicalisation" TargetMode="External"/><Relationship Id="rId417" Type="http://schemas.openxmlformats.org/officeDocument/2006/relationships/hyperlink" Target="https://www.childnet.com/parents-and-carers/parent-and-carer-toolkit" TargetMode="External"/><Relationship Id="rId459" Type="http://schemas.openxmlformats.org/officeDocument/2006/relationships/hyperlink" Target="https://prevent.lgfl.net/" TargetMode="External"/><Relationship Id="rId16" Type="http://schemas.openxmlformats.org/officeDocument/2006/relationships/hyperlink" Target="https://www.legislation.gov.uk/ukpga/2003/42/part/1/crossheading/rape-and-other-offences-against-children-under-13" TargetMode="External"/><Relationship Id="rId221" Type="http://schemas.openxmlformats.org/officeDocument/2006/relationships/hyperlink" Target="https://prevent.lgfl.net/" TargetMode="External"/><Relationship Id="rId263" Type="http://schemas.openxmlformats.org/officeDocument/2006/relationships/hyperlink" Target="https://www.gov.uk/government/publications/female-genital-mutilation-resource-pack" TargetMode="External"/><Relationship Id="rId319" Type="http://schemas.openxmlformats.org/officeDocument/2006/relationships/hyperlink" Target="https://www.gov.uk/government/publications/child-exploitation-disruption-toolkit" TargetMode="External"/><Relationship Id="rId470"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526"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58" Type="http://schemas.openxmlformats.org/officeDocument/2006/relationships/hyperlink" Target="https://www.gov.uk/report-child-abuse-to-local-council" TargetMode="External"/><Relationship Id="rId123" Type="http://schemas.openxmlformats.org/officeDocument/2006/relationships/hyperlink" Target="https://www.ncsc.gov.uk/" TargetMode="External"/><Relationship Id="rId330" Type="http://schemas.openxmlformats.org/officeDocument/2006/relationships/hyperlink" Target="https://gbr01.safelinks.protection.outlook.com/?url=https%3A%2F%2Fwww.missingpeople.org.uk%2Fget-help%2Fhelp-services%2Fexploitation-and-county-lines%2Fwhat-is-county-lines&amp;data=05%7C02%7CSamantha.Darby1%40homeoffice.gov.uk%7Cc147a546ba4d436ec2c208de0afde04a%7Cf24d93ecb2914192a08af182245945c2%7C0%7C0%7C638960282679689119%7CUnknown%7CTWFpbGZsb3d8eyJFbXB0eU1hcGkiOnRydWUsIlYiOiIwLjAuMDAwMCIsIlAiOiJXaW4zMiIsIkFOIjoiTWFpbCIsIldUIjoyfQ%3D%3D%7C0%7C%7C%7C&amp;sdata=ZZkzBgUHEC2bWjnXET6PIYn81d6syleBQ1qtg9dGD88%3D&amp;reserved=0" TargetMode="External"/><Relationship Id="rId568" Type="http://schemas.openxmlformats.org/officeDocument/2006/relationships/hyperlink" Target="https://www.gov.uk/contact-dfe" TargetMode="External"/><Relationship Id="rId165" Type="http://schemas.openxmlformats.org/officeDocument/2006/relationships/hyperlink" Target="https://www.gov.uk/government/publications/homelessness-reduction-bill-policy-factsheets" TargetMode="External"/><Relationship Id="rId372" Type="http://schemas.openxmlformats.org/officeDocument/2006/relationships/hyperlink" Target="https://www.childnet.com/resources/cyberbullying-guidance-for-schools" TargetMode="External"/><Relationship Id="rId428" Type="http://schemas.openxmlformats.org/officeDocument/2006/relationships/hyperlink" Target="https://parentsafe.lgfl.net/" TargetMode="External"/><Relationship Id="rId232" Type="http://schemas.openxmlformats.org/officeDocument/2006/relationships/hyperlink" Target="https://youthendowmentfund.org.uk/reports/education-guidance/" TargetMode="External"/><Relationship Id="rId274" Type="http://schemas.openxmlformats.org/officeDocument/2006/relationships/hyperlink" Target="https://www.csacentre.org.uk/research-resources/practice-resources/signs-and-indicators/" TargetMode="External"/><Relationship Id="rId481" Type="http://schemas.openxmlformats.org/officeDocument/2006/relationships/hyperlink" Target="https://www.barnardos.org.uk/?gclid=EAIaIQobChMIspfntMWB2AIVCrHtCh38DwkAEAAYASAAEgJPt_D_BwE" TargetMode="External"/><Relationship Id="rId27" Type="http://schemas.openxmlformats.org/officeDocument/2006/relationships/hyperlink" Target="https://www.gov.uk/government/publications/what-to-do-if-youre-worried-a-child-is-being-abused--2" TargetMode="External"/><Relationship Id="rId69" Type="http://schemas.openxmlformats.org/officeDocument/2006/relationships/hyperlink" Target="https://www.gov.uk/government/publications/working-together-to-safeguard-children--2" TargetMode="External"/><Relationship Id="rId134" Type="http://schemas.openxmlformats.org/officeDocument/2006/relationships/hyperlink" Target="https://www.gov.uk/government/publications/keeping-children-safe-in-education--2" TargetMode="External"/><Relationship Id="rId537" Type="http://schemas.openxmlformats.org/officeDocument/2006/relationships/hyperlink" Target="https://www.farrer.co.uk/News/Briefings/PEER-ON-PEER-ABUSE-TOOLKIT/" TargetMode="External"/><Relationship Id="rId579" Type="http://schemas.openxmlformats.org/officeDocument/2006/relationships/fontTable" Target="fontTable.xml"/><Relationship Id="rId80" Type="http://schemas.openxmlformats.org/officeDocument/2006/relationships/hyperlink" Target="https://www.gov.uk/whistleblowing" TargetMode="External"/><Relationship Id="rId176" Type="http://schemas.openxmlformats.org/officeDocument/2006/relationships/hyperlink" Target="https://www.gov.uk/government/publications/modern-slavery-how-to-identify-and-support-victims" TargetMode="External"/><Relationship Id="rId341" Type="http://schemas.openxmlformats.org/officeDocument/2006/relationships/hyperlink" Target="https://www.gov.uk/government/publications/from-harm-to-hope-a-10-year-drugs-plan-to-cut-crime-and-save-lives/from-harm-to-hope-a-10-year-drugs-plan-to-cut-crime-and-save-lives" TargetMode="External"/><Relationship Id="rId383" Type="http://schemas.openxmlformats.org/officeDocument/2006/relationships/hyperlink" Target="http://www.gov.uk/government/publications/searching-screening-and-confiscation" TargetMode="External"/><Relationship Id="rId439" Type="http://schemas.openxmlformats.org/officeDocument/2006/relationships/hyperlink" Target="https://www.childrenscommissioner.gov.uk/report/talking-to-your-child-about-online-sexual-harassment-a-guide-for-parents/" TargetMode="External"/><Relationship Id="rId201" Type="http://schemas.openxmlformats.org/officeDocument/2006/relationships/hyperlink" Target="http://www.elearning.prevent.homeoffice.gov.uk/" TargetMode="External"/><Relationship Id="rId243" Type="http://schemas.openxmlformats.org/officeDocument/2006/relationships/hyperlink" Target="https://assets.publishing.service.gov.uk/media/639b2ec3e90e072186e1803c/Final_Serious_Violence_Duty_Statutory_Guidance_-_December_2022.pdf" TargetMode="External"/><Relationship Id="rId285" Type="http://schemas.openxmlformats.org/officeDocument/2006/relationships/hyperlink" Target="https://www.gov.uk/government/collections/disrespect-nobody-campaign" TargetMode="External"/><Relationship Id="rId450" Type="http://schemas.openxmlformats.org/officeDocument/2006/relationships/hyperlink" Target="https://www.gov.uk/government/publications/the-prevent-duty-safeguarding-learners-vulnerable-to-radicalisation" TargetMode="External"/><Relationship Id="rId506" Type="http://schemas.openxmlformats.org/officeDocument/2006/relationships/hyperlink" Target="https://learning.nspcc.org.uk/child-abuse-and-neglect/harmful-sexual-behaviour" TargetMode="External"/><Relationship Id="rId38" Type="http://schemas.openxmlformats.org/officeDocument/2006/relationships/hyperlink" Target="https://www.gov.uk/government/publications/safeguarding-practitioners-information-sharing-advice" TargetMode="External"/><Relationship Id="rId103"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310" Type="http://schemas.openxmlformats.org/officeDocument/2006/relationships/hyperlink" Target="https://assets.publishing.service.gov.uk/media/66432b8d4f29e1d07fadc66f/080524%2BFinal%2Bformatted%2B-%2BInterim%2Bguidance%2Bfor%2BIndependent%2BChild%2BTrafficking%2BGuardians%2B2425%2Bupdate.pdf" TargetMode="External"/><Relationship Id="rId492" Type="http://schemas.openxmlformats.org/officeDocument/2006/relationships/hyperlink" Target="https://www.saferinternet.org.uk/advice-and-resources" TargetMode="External"/><Relationship Id="rId548" Type="http://schemas.openxmlformats.org/officeDocument/2006/relationships/hyperlink" Target="https://learning.nspcc.org.uk/research-resources/2019/harmful-sexual-behaviour-framework" TargetMode="External"/><Relationship Id="rId91"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45" Type="http://schemas.openxmlformats.org/officeDocument/2006/relationships/hyperlink" Target="https://www.operationencompass.org/operation-encompass-on-line-key-adult-briefing" TargetMode="External"/><Relationship Id="rId187" Type="http://schemas.openxmlformats.org/officeDocument/2006/relationships/hyperlink" Target="https://www.gov.uk/government/publications/prevent-duty-guidance" TargetMode="External"/><Relationship Id="rId352" Type="http://schemas.openxmlformats.org/officeDocument/2006/relationships/hyperlink" Target="https://www.gov.uk/government/publications/the-right-to-choose-government-guidance-on-forced-marriage" TargetMode="External"/><Relationship Id="rId394" Type="http://schemas.openxmlformats.org/officeDocument/2006/relationships/hyperlink" Target="https://www.saferinternet.org.uk/advice-centre/parents-and-carers" TargetMode="External"/><Relationship Id="rId408" Type="http://schemas.openxmlformats.org/officeDocument/2006/relationships/hyperlink" Target="https://swgfl.org.uk/resources/safe-remote-learning/" TargetMode="External"/><Relationship Id="rId212" Type="http://schemas.openxmlformats.org/officeDocument/2006/relationships/hyperlink" Target="https://www.educateagainsthate.com/resources/new-teaching-resources-and-guidance-for-further-education-and-training-settings-uploaded-september-2025/" TargetMode="External"/><Relationship Id="rId254" Type="http://schemas.openxmlformats.org/officeDocument/2006/relationships/hyperlink" Target="https://www.gov.uk/government/uploads/system/uploads/attachment_data/file/496415/6_1639_HO_SP_FGM_mandatory_reporting_Fact_sheet_Web.pdf" TargetMode="External"/><Relationship Id="rId49" Type="http://schemas.openxmlformats.org/officeDocument/2006/relationships/hyperlink" Target="https://www.npcc.police.uk/SysSiteAssets/media/downloads/publications/publications-log/2020/when-to-call-the-police--guidance-for-schools-and-colleges.pdf" TargetMode="External"/><Relationship Id="rId114" Type="http://schemas.openxmlformats.org/officeDocument/2006/relationships/hyperlink" Target="https://helpwithchildarrangements.service.justice.gov.uk/" TargetMode="External"/><Relationship Id="rId296" Type="http://schemas.openxmlformats.org/officeDocument/2006/relationships/hyperlink" Target="https://www.gov.uk/government/publications/missing-children-and-adults-strategy" TargetMode="External"/><Relationship Id="rId461" Type="http://schemas.openxmlformats.org/officeDocument/2006/relationships/hyperlink" Target="https://www.gov.uk/government/publications/the-prevent-duty-safeguarding-learners-vulnerable-to-radicalisation/managing-risk-of-radicalisation-in-your-education-setting" TargetMode="External"/><Relationship Id="rId517" Type="http://schemas.openxmlformats.org/officeDocument/2006/relationships/hyperlink" Target="http://www.anti-bullyingalliance.org.uk/" TargetMode="External"/><Relationship Id="rId559" Type="http://schemas.openxmlformats.org/officeDocument/2006/relationships/hyperlink" Target="http://www.ceopeducation.co.uk/parents" TargetMode="External"/><Relationship Id="rId60" Type="http://schemas.openxmlformats.org/officeDocument/2006/relationships/hyperlink" Target="https://www.legislation.gov.uk/ukpga/1989/41/contents" TargetMode="External"/><Relationship Id="rId156" Type="http://schemas.openxmlformats.org/officeDocument/2006/relationships/hyperlink" Target="https://safelives.org.uk/node/1112" TargetMode="External"/><Relationship Id="rId198" Type="http://schemas.openxmlformats.org/officeDocument/2006/relationships/hyperlink" Target="https://www.gov.uk/government/publications/the-prevent-duty-safeguarding-learners-vulnerable-to-radicalisation" TargetMode="External"/><Relationship Id="rId321" Type="http://schemas.openxmlformats.org/officeDocument/2006/relationships/hyperlink" Target="https://www.gov.uk/government/publications/child-exploitation-disruption-toolkit" TargetMode="External"/><Relationship Id="rId363" Type="http://schemas.openxmlformats.org/officeDocument/2006/relationships/hyperlink" Target="https://www.gov.uk/government/publications/mental-health-and-behaviour-in-schools--2" TargetMode="External"/><Relationship Id="rId419" Type="http://schemas.openxmlformats.org/officeDocument/2006/relationships/hyperlink" Target="http://www.commonsensemedia.org/" TargetMode="External"/><Relationship Id="rId570" Type="http://schemas.openxmlformats.org/officeDocument/2006/relationships/hyperlink" Target="http://www.gov.uk/government/publications" TargetMode="External"/><Relationship Id="rId223" Type="http://schemas.openxmlformats.org/officeDocument/2006/relationships/hyperlink" Target="https://prevent.lgfl.net/" TargetMode="External"/><Relationship Id="rId430" Type="http://schemas.openxmlformats.org/officeDocument/2006/relationships/hyperlink" Target="https://www.stopitnow.org.uk/" TargetMode="External"/><Relationship Id="rId18" Type="http://schemas.openxmlformats.org/officeDocument/2006/relationships/hyperlink" Target="https://www.legislation.gov.uk/ukpga/2003/42/part/1/crossheading/child-sex-offences" TargetMode="External"/><Relationship Id="rId265"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72" Type="http://schemas.openxmlformats.org/officeDocument/2006/relationships/hyperlink" Target="https://www.gov.uk/government/publications/advice-to-schools-and-colleges-on-gangs-and-youth-violence" TargetMode="External"/><Relationship Id="rId528" Type="http://schemas.openxmlformats.org/officeDocument/2006/relationships/hyperlink" Target="https://learning.nspcc.org.uk/safeguarding-self-assessment-tool" TargetMode="External"/><Relationship Id="rId125" Type="http://schemas.openxmlformats.org/officeDocument/2006/relationships/hyperlink" Target="https://www.ncsc.gov.uk/" TargetMode="External"/><Relationship Id="rId167" Type="http://schemas.openxmlformats.org/officeDocument/2006/relationships/hyperlink" Target="https://www.gov.uk/government/publications/homelessness-reduction-bill-policy-factsheets" TargetMode="External"/><Relationship Id="rId332" Type="http://schemas.openxmlformats.org/officeDocument/2006/relationships/hyperlink" Target="https://gbr01.safelinks.protection.outlook.com/?url=https%3A%2F%2Fwww.missingpeople.org.uk%2Fget-help%2Fhelp-services%2Fexploitation-and-county-lines&amp;data=05%7C02%7CSamantha.Darby1%40homeoffice.gov.uk%7Cc147a546ba4d436ec2c208de0afde04a%7Cf24d93ecb2914192a08af182245945c2%7C0%7C0%7C638960282679626292%7CUnknown%7CTWFpbGZsb3d8eyJFbXB0eU1hcGkiOnRydWUsIlYiOiIwLjAuMDAwMCIsIlAiOiJXaW4zMiIsIkFOIjoiTWFpbCIsIldUIjoyfQ%3D%3D%7C0%7C%7C%7C&amp;sdata=7SBhRZHu2lyx7CQTD0iSAXo%2FddWJsLFvHYSNgK2F%2FRo%3D&amp;reserved=0" TargetMode="External"/><Relationship Id="rId374" Type="http://schemas.openxmlformats.org/officeDocument/2006/relationships/hyperlink" Target="http://www.educateagainsthate.com/" TargetMode="External"/><Relationship Id="rId71" Type="http://schemas.openxmlformats.org/officeDocument/2006/relationships/hyperlink" Target="https://www.gov.uk/government/publications/working-together-to-safeguard-children--2" TargetMode="External"/><Relationship Id="rId234" Type="http://schemas.openxmlformats.org/officeDocument/2006/relationships/hyperlink" Target="https://youthendowmentfund.org.uk/education-practice-insight-creator/" TargetMode="External"/><Relationship Id="rId2" Type="http://schemas.openxmlformats.org/officeDocument/2006/relationships/styles" Target="styles.xml"/><Relationship Id="rId29" Type="http://schemas.openxmlformats.org/officeDocument/2006/relationships/hyperlink" Target="https://www.gov.uk/government/publications/what-to-do-if-youre-worried-a-child-is-being-abused--2" TargetMode="External"/><Relationship Id="rId276" Type="http://schemas.openxmlformats.org/officeDocument/2006/relationships/hyperlink" Target="https://www.gov.uk/government/publications/what-to-do-if-youre-worried-a-child-is-being-abused--2" TargetMode="External"/><Relationship Id="rId441" Type="http://schemas.openxmlformats.org/officeDocument/2006/relationships/hyperlink" Target="https://www.gov.uk/government/publications/uk-cmo-commentary-on-screen-time-and-social-media-map-of-reviews" TargetMode="External"/><Relationship Id="rId483" Type="http://schemas.openxmlformats.org/officeDocument/2006/relationships/hyperlink" Target="https://www.lucyfaithfull.org.uk/" TargetMode="External"/><Relationship Id="rId539" Type="http://schemas.openxmlformats.org/officeDocument/2006/relationships/hyperlink" Target="https://www.contextualsafeguarding.org.uk/toolkits/beyond-referrals/" TargetMode="External"/><Relationship Id="rId40" Type="http://schemas.openxmlformats.org/officeDocument/2006/relationships/hyperlink" Target="https://www.gov.uk/government/publications/safeguarding-practitioners-information-sharing-advice" TargetMode="External"/><Relationship Id="rId136" Type="http://schemas.openxmlformats.org/officeDocument/2006/relationships/hyperlink" Target="https://www.gov.uk/government/publications/keeping-children-safe-in-education--2" TargetMode="External"/><Relationship Id="rId178" Type="http://schemas.openxmlformats.org/officeDocument/2006/relationships/hyperlink" Target="https://www.gov.uk/government/publications/the-prevent-duty-safeguarding-learners-vulnerable-to-radicalisation/managing-risk-of-radicalisation-in-your-education-setting" TargetMode="External"/><Relationship Id="rId301" Type="http://schemas.openxmlformats.org/officeDocument/2006/relationships/hyperlink" Target="https://www.prisonersfamilies.org/" TargetMode="External"/><Relationship Id="rId343" Type="http://schemas.openxmlformats.org/officeDocument/2006/relationships/hyperlink" Target="http://www.talktofrank.com/" TargetMode="External"/><Relationship Id="rId550" Type="http://schemas.openxmlformats.org/officeDocument/2006/relationships/hyperlink" Target="https://www.farrer.co.uk/globalassets/clients-and-sectors/safeguarding/addressing-child-on-child-abuse/" TargetMode="External"/><Relationship Id="rId82" Type="http://schemas.openxmlformats.org/officeDocument/2006/relationships/hyperlink" Target="https://www.nspcc.org.uk/what-you-can-do/report-abuse/dedicated-helplines/whistleblowing-advice-line/" TargetMode="External"/><Relationship Id="rId203" Type="http://schemas.openxmlformats.org/officeDocument/2006/relationships/hyperlink" Target="https://www.elearning.prevent.homeoffice.gov.uk/preventreferrals" TargetMode="External"/><Relationship Id="rId385" Type="http://schemas.openxmlformats.org/officeDocument/2006/relationships/hyperlink" Target="http://www.swgfl.org.uk/" TargetMode="External"/><Relationship Id="rId245" Type="http://schemas.openxmlformats.org/officeDocument/2006/relationships/hyperlink" Target="https://assets.publishing.service.gov.uk/media/639b2ec3e90e072186e1803c/Final_Serious_Violence_Duty_Statutory_Guidance_-_December_2022.pdf" TargetMode="External"/><Relationship Id="rId287" Type="http://schemas.openxmlformats.org/officeDocument/2006/relationships/hyperlink" Target="https://www.gov.uk/government/publications/tackling-child-sexual-abuse-strategy" TargetMode="External"/><Relationship Id="rId410"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452" Type="http://schemas.openxmlformats.org/officeDocument/2006/relationships/hyperlink" Target="http://educateagainsthate.com/" TargetMode="External"/><Relationship Id="rId494" Type="http://schemas.openxmlformats.org/officeDocument/2006/relationships/hyperlink" Target="https://www.saferinternet.org.uk/advice-and-resources" TargetMode="External"/><Relationship Id="rId508" Type="http://schemas.openxmlformats.org/officeDocument/2006/relationships/hyperlink" Target="https://learning.nspcc.org.uk/research-resources/2019/harmful-sexual-behaviour-framework" TargetMode="External"/><Relationship Id="rId105"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147" Type="http://schemas.openxmlformats.org/officeDocument/2006/relationships/hyperlink" Target="https://www.operationencompass.org/operation-encompass-on-line-key-adult-briefing" TargetMode="External"/><Relationship Id="rId312" Type="http://schemas.openxmlformats.org/officeDocument/2006/relationships/hyperlink" Target="https://www.gov.uk/government/publications/safeguarding-children-who-may-have-been-trafficked-practice-guidance" TargetMode="External"/><Relationship Id="rId354" Type="http://schemas.openxmlformats.org/officeDocument/2006/relationships/hyperlink" Target="https://www.gov.uk/government/publications/female-genital-mutilation-resource-pack" TargetMode="External"/><Relationship Id="rId51" Type="http://schemas.openxmlformats.org/officeDocument/2006/relationships/hyperlink" Target="https://www.npcc.police.uk/SysSiteAssets/media/downloads/publications/publications-log/2020/when-to-call-the-police--guidance-for-schools-and-colleges.pdf" TargetMode="External"/><Relationship Id="rId93"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89" Type="http://schemas.openxmlformats.org/officeDocument/2006/relationships/hyperlink" Target="https://www.gov.uk/government/publications/channel-guidance" TargetMode="External"/><Relationship Id="rId396" Type="http://schemas.openxmlformats.org/officeDocument/2006/relationships/hyperlink" Target="https://www.ceopeducation.co.uk/professionals/guidance/ai-guidance-for-professionals/" TargetMode="External"/><Relationship Id="rId561" Type="http://schemas.openxmlformats.org/officeDocument/2006/relationships/hyperlink" Target="https://www.ceopeducation.co.uk/parents/ask-the-awkward/" TargetMode="External"/><Relationship Id="rId214" Type="http://schemas.openxmlformats.org/officeDocument/2006/relationships/hyperlink" Target="https://www.educateagainsthate.com/resources/new-teaching-resources-and-guidance-for-further-education-and-training-settings-uploaded-september-2025/" TargetMode="External"/><Relationship Id="rId256" Type="http://schemas.openxmlformats.org/officeDocument/2006/relationships/hyperlink" Target="https://www.gov.uk/government/uploads/system/uploads/attachment_data/file/496415/6_1639_HO_SP_FGM_mandatory_reporting_Fact_sheet_Web.pdf" TargetMode="External"/><Relationship Id="rId298" Type="http://schemas.openxmlformats.org/officeDocument/2006/relationships/hyperlink" Target="https://www.gov.uk/government/publications/missing-children-and-adults-strategy" TargetMode="External"/><Relationship Id="rId421" Type="http://schemas.openxmlformats.org/officeDocument/2006/relationships/hyperlink" Target="https://www.gov.uk/government/publications/coronavirus-covid-19-keeping-children-safe-online/coronavirus-covid-19-support-for-parents-and-carers-to-keep-children-safe-online" TargetMode="External"/><Relationship Id="rId463" Type="http://schemas.openxmlformats.org/officeDocument/2006/relationships/hyperlink" Target="https://www.gov.uk/government/publications/serious-violence-strategy" TargetMode="External"/><Relationship Id="rId519" Type="http://schemas.openxmlformats.org/officeDocument/2006/relationships/hyperlink" Target="https://rapecrisis.org.uk/" TargetMode="External"/><Relationship Id="rId116" Type="http://schemas.openxmlformats.org/officeDocument/2006/relationships/hyperlink" Target="https://www.prisonersfamilies.org/" TargetMode="External"/><Relationship Id="rId158" Type="http://schemas.openxmlformats.org/officeDocument/2006/relationships/hyperlink" Target="https://www.gov.uk/government/publications/domestic-abuse-get-help-for-specific-needs-or-situations/domestic-abuse-specialist-sources-of-support" TargetMode="External"/><Relationship Id="rId323" Type="http://schemas.openxmlformats.org/officeDocument/2006/relationships/hyperlink" Target="https://www.childrenssociety.org.uk/what-we-do/our-work/preventing-child-sexual-exploitation" TargetMode="External"/><Relationship Id="rId530" Type="http://schemas.openxmlformats.org/officeDocument/2006/relationships/hyperlink" Target="https://learning.nspcc.org.uk/research-resources/2019/let-children-know-you-re-listening/" TargetMode="External"/><Relationship Id="rId20" Type="http://schemas.openxmlformats.org/officeDocument/2006/relationships/hyperlink" Target="https://www.legislation.gov.uk/ukpga/2003/42/part/1/crossheading/child-sex-offences" TargetMode="External"/><Relationship Id="rId62" Type="http://schemas.openxmlformats.org/officeDocument/2006/relationships/hyperlink" Target="https://www.legislation.gov.uk/ukpga/1989/41/section/17" TargetMode="External"/><Relationship Id="rId365" Type="http://schemas.openxmlformats.org/officeDocument/2006/relationships/hyperlink" Target="https://www.nhs.uk/mental-health/conditions/fabricated-or-induced-illness/overview/" TargetMode="External"/><Relationship Id="rId572" Type="http://schemas.openxmlformats.org/officeDocument/2006/relationships/hyperlink" Target="http://twitter.com/educationgovuk" TargetMode="External"/><Relationship Id="rId225" Type="http://schemas.openxmlformats.org/officeDocument/2006/relationships/hyperlink" Target="https://assets.publishing.service.gov.uk/government/uploads/system/uploads/attachment_data/file/698009/serious-violence-strategy.pdf" TargetMode="External"/><Relationship Id="rId267"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32" Type="http://schemas.openxmlformats.org/officeDocument/2006/relationships/hyperlink" Target="https://www.lucyfaithfull.org.uk/" TargetMode="External"/><Relationship Id="rId474" Type="http://schemas.openxmlformats.org/officeDocument/2006/relationships/hyperlink" Target="https://www.gov.uk/government/publications/tackling-violence-against-women-and-girls-strategy" TargetMode="External"/><Relationship Id="rId127" Type="http://schemas.openxmlformats.org/officeDocument/2006/relationships/hyperlink" Target="https://assets.publishing.service.gov.uk/media/690cd04e276dd02bc451ab66/Operation%2BEncompass%2BStatutory%2BGuidance.pdf" TargetMode="External"/><Relationship Id="rId31" Type="http://schemas.openxmlformats.org/officeDocument/2006/relationships/hyperlink" Target="https://www.gov.uk/government/publications/what-to-do-if-youre-worried-a-child-is-being-abused--2" TargetMode="External"/><Relationship Id="rId73" Type="http://schemas.openxmlformats.org/officeDocument/2006/relationships/hyperlink" Target="https://www.gov.uk/government/publications/working-together-to-safeguard-children--2" TargetMode="External"/><Relationship Id="rId169" Type="http://schemas.openxmlformats.org/officeDocument/2006/relationships/hyperlink" Target="https://www.gov.uk/government/publications/homelessness-reduction-bill-policy-factsheets" TargetMode="External"/><Relationship Id="rId334" Type="http://schemas.openxmlformats.org/officeDocument/2006/relationships/hyperlink" Target="https://gbr01.safelinks.protection.outlook.com/?url=https%3A%2F%2Fwww.missingpeople.org.uk%2Fget-help%2Fhelp-services%2Fexploitation-and-county-lines&amp;data=05%7C02%7CSamantha.Darby1%40homeoffice.gov.uk%7Cc147a546ba4d436ec2c208de0afde04a%7Cf24d93ecb2914192a08af182245945c2%7C0%7C0%7C638960282679626292%7CUnknown%7CTWFpbGZsb3d8eyJFbXB0eU1hcGkiOnRydWUsIlYiOiIwLjAuMDAwMCIsIlAiOiJXaW4zMiIsIkFOIjoiTWFpbCIsIldUIjoyfQ%3D%3D%7C0%7C%7C%7C&amp;sdata=7SBhRZHu2lyx7CQTD0iSAXo%2FddWJsLFvHYSNgK2F%2FRo%3D&amp;reserved=0" TargetMode="External"/><Relationship Id="rId376" Type="http://schemas.openxmlformats.org/officeDocument/2006/relationships/hyperlink" Target="https://digisafe.lgfl.net/" TargetMode="External"/><Relationship Id="rId541" Type="http://schemas.openxmlformats.org/officeDocument/2006/relationships/hyperlink" Target="https://www.childnet.com/resources/star-send-toolkit" TargetMode="External"/><Relationship Id="rId4" Type="http://schemas.openxmlformats.org/officeDocument/2006/relationships/webSettings" Target="webSettings.xml"/><Relationship Id="rId180" Type="http://schemas.openxmlformats.org/officeDocument/2006/relationships/hyperlink" Target="https://www.gov.uk/guidance/making-a-referral-to-prevent" TargetMode="External"/><Relationship Id="rId236" Type="http://schemas.openxmlformats.org/officeDocument/2006/relationships/hyperlink" Target="https://www.gov.uk/government/news/355m-to-support-young-people-at-risk-of-involvement-in-serious-violence" TargetMode="External"/><Relationship Id="rId278" Type="http://schemas.openxmlformats.org/officeDocument/2006/relationships/hyperlink" Target="https://www.gov.uk/domestic-violence-and-abuse" TargetMode="External"/><Relationship Id="rId401" Type="http://schemas.openxmlformats.org/officeDocument/2006/relationships/hyperlink" Target="https://www.gov.uk/guidance/get-help-with-remote-education" TargetMode="External"/><Relationship Id="rId443" Type="http://schemas.openxmlformats.org/officeDocument/2006/relationships/hyperlink" Target="https://www.gov.uk/government/publications/uk-cmo-commentary-on-screen-time-and-social-media-map-of-reviews" TargetMode="External"/><Relationship Id="rId303"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485" Type="http://schemas.openxmlformats.org/officeDocument/2006/relationships/hyperlink" Target="https://www.mariecollinsfoundation.org.uk/" TargetMode="External"/><Relationship Id="rId42" Type="http://schemas.openxmlformats.org/officeDocument/2006/relationships/hyperlink" Target="https://www.gov.uk/government/publications/safeguarding-practitioners-information-sharing-advice" TargetMode="External"/><Relationship Id="rId84" Type="http://schemas.openxmlformats.org/officeDocument/2006/relationships/hyperlink" Target="http://www.actionagainstabduction.org/" TargetMode="External"/><Relationship Id="rId138" Type="http://schemas.openxmlformats.org/officeDocument/2006/relationships/hyperlink" Target="https://www.gov.uk/government/publications/keeping-children-safe-in-education--2" TargetMode="External"/><Relationship Id="rId345" Type="http://schemas.openxmlformats.org/officeDocument/2006/relationships/hyperlink" Target="https://www.pshe-association.org.uk/curriculum-and-resources/resources/drug-and-alcohol-education-%E2%80%94-teacher-guidance" TargetMode="External"/><Relationship Id="rId387" Type="http://schemas.openxmlformats.org/officeDocument/2006/relationships/hyperlink" Target="https://www.gov.uk/government/publications/ukcis-online-safety-audit-tool" TargetMode="External"/><Relationship Id="rId510" Type="http://schemas.openxmlformats.org/officeDocument/2006/relationships/hyperlink" Target="https://learning.nspcc.org.uk/research-resources/2019/harmful-sexual-behaviour-framework" TargetMode="External"/><Relationship Id="rId552" Type="http://schemas.openxmlformats.org/officeDocument/2006/relationships/hyperlink" Target="https://sexting.lgfl.net/" TargetMode="External"/><Relationship Id="rId191" Type="http://schemas.openxmlformats.org/officeDocument/2006/relationships/hyperlink" Target="https://www.support-people-vulnerable-to-radicalisation.service.gov.uk/portal" TargetMode="External"/><Relationship Id="rId205" Type="http://schemas.openxmlformats.org/officeDocument/2006/relationships/hyperlink" Target="https://www.elearning.prevent.homeoffice.gov.uk/channel_awareness/01-welcome.html" TargetMode="External"/><Relationship Id="rId247" Type="http://schemas.openxmlformats.org/officeDocument/2006/relationships/hyperlink" Target="https://www.gov.uk/government/publications/mandatory-reporting-of-female-genital-mutilation-procedural-information" TargetMode="External"/><Relationship Id="rId412" Type="http://schemas.openxmlformats.org/officeDocument/2006/relationships/hyperlink" Target="https://reportharmfulcontent.com/" TargetMode="External"/><Relationship Id="rId107"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289" Type="http://schemas.openxmlformats.org/officeDocument/2006/relationships/hyperlink" Target="https://stopabusetogether.campaign.gov.uk/" TargetMode="External"/><Relationship Id="rId454" Type="http://schemas.openxmlformats.org/officeDocument/2006/relationships/hyperlink" Target="http://educateagainsthate.com/" TargetMode="External"/><Relationship Id="rId496" Type="http://schemas.openxmlformats.org/officeDocument/2006/relationships/hyperlink" Target="https://rapecrisis.org.uk/" TargetMode="External"/><Relationship Id="rId11" Type="http://schemas.openxmlformats.org/officeDocument/2006/relationships/footer" Target="footer2.xml"/><Relationship Id="rId53" Type="http://schemas.openxmlformats.org/officeDocument/2006/relationships/hyperlink" Target="https://www.contextualsafeguarding.org.uk/" TargetMode="External"/><Relationship Id="rId149" Type="http://schemas.openxmlformats.org/officeDocument/2006/relationships/hyperlink" Target="https://www.operationencompass.org/" TargetMode="External"/><Relationship Id="rId314" Type="http://schemas.openxmlformats.org/officeDocument/2006/relationships/hyperlink" Target="https://www.gov.uk/government/publications/care-of-unaccompanied-and-trafficked-children" TargetMode="External"/><Relationship Id="rId356" Type="http://schemas.openxmlformats.org/officeDocument/2006/relationships/hyperlink" Target="https://www.pshe-association.org.uk/curriculum-and-resources/resources/rise-above-schools-teaching-resources" TargetMode="External"/><Relationship Id="rId398" Type="http://schemas.openxmlformats.org/officeDocument/2006/relationships/hyperlink" Target="https://www.ceopeducation.co.uk/professionals/guidance/fmse-alert/" TargetMode="External"/><Relationship Id="rId521" Type="http://schemas.openxmlformats.org/officeDocument/2006/relationships/hyperlink" Target="https://www.thesurvivorstrust.org/" TargetMode="External"/><Relationship Id="rId563" Type="http://schemas.openxmlformats.org/officeDocument/2006/relationships/hyperlink" Target="https://www.ceopeducation.co.uk/parents/ask-the-awkward/" TargetMode="External"/><Relationship Id="rId95"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60" Type="http://schemas.openxmlformats.org/officeDocument/2006/relationships/hyperlink" Target="https://www.operationencompass.org/" TargetMode="External"/><Relationship Id="rId216" Type="http://schemas.openxmlformats.org/officeDocument/2006/relationships/hyperlink" Target="https://etfoundation.co.uk/professional-development/etf-offer-by-topics/safeguarding-and-prevent/" TargetMode="External"/><Relationship Id="rId423" Type="http://schemas.openxmlformats.org/officeDocument/2006/relationships/hyperlink" Target="https://kidsonlinesafety.campaign.gov.uk/" TargetMode="External"/><Relationship Id="rId258" Type="http://schemas.openxmlformats.org/officeDocument/2006/relationships/hyperlink" Target="https://www.gov.uk/government/publications/multi-agency-statutory-guidance-on-female-genital-mutilation" TargetMode="External"/><Relationship Id="rId465" Type="http://schemas.openxmlformats.org/officeDocument/2006/relationships/hyperlink" Target="https://assets.publishing.service.gov.uk/government/uploads/system/uploads/attachment_data/file/819840/analysis-of-indicators-of-serious-violence-horr110.pdf" TargetMode="External"/><Relationship Id="rId22"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64" Type="http://schemas.openxmlformats.org/officeDocument/2006/relationships/hyperlink" Target="https://www.legislation.gov.uk/ukpga/1989/41/section/17" TargetMode="External"/><Relationship Id="rId118" Type="http://schemas.openxmlformats.org/officeDocument/2006/relationships/hyperlink" Target="http://www.cyberchoices.uk/" TargetMode="External"/><Relationship Id="rId325" Type="http://schemas.openxmlformats.org/officeDocument/2006/relationships/hyperlink" Target="https://www.childrenssociety.org.uk/information/professionals/resources/county-lines-toolkit" TargetMode="External"/><Relationship Id="rId367" Type="http://schemas.openxmlformats.org/officeDocument/2006/relationships/hyperlink" Target="https://www.gov.uk/guidance/homelessness-code-of-guidance-for-local-authorities" TargetMode="External"/><Relationship Id="rId532" Type="http://schemas.openxmlformats.org/officeDocument/2006/relationships/hyperlink" Target="https://learning.nspcc.org.uk/research-resources/2019/harmful-sexual-behaviour-framework" TargetMode="External"/><Relationship Id="rId574" Type="http://schemas.openxmlformats.org/officeDocument/2006/relationships/hyperlink" Target="http://www.facebook.com/educationgovuk" TargetMode="External"/><Relationship Id="rId171" Type="http://schemas.openxmlformats.org/officeDocument/2006/relationships/hyperlink" Target="https://www.gov.uk/government/publications/modern-slavery-training-resource-page/modern-slavery-training-resource-page" TargetMode="External"/><Relationship Id="rId227" Type="http://schemas.openxmlformats.org/officeDocument/2006/relationships/hyperlink" Target="https://www.gov.uk/government/publications/criminal-exploitation-of-children-and-vulnerable-adults-county-lines" TargetMode="External"/><Relationship Id="rId269"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34" Type="http://schemas.openxmlformats.org/officeDocument/2006/relationships/hyperlink" Target="https://www.ceopeducation.co.uk/" TargetMode="External"/><Relationship Id="rId476" Type="http://schemas.openxmlformats.org/officeDocument/2006/relationships/hyperlink" Target="https://www.gov.uk/government/publications/tackling-violence-against-women-and-girls-strategy" TargetMode="External"/><Relationship Id="rId33" Type="http://schemas.openxmlformats.org/officeDocument/2006/relationships/hyperlink" Target="https://www.nspcc.org.uk/keeping-children-safe/types-of-abuse/?utm_old=types" TargetMode="External"/><Relationship Id="rId129" Type="http://schemas.openxmlformats.org/officeDocument/2006/relationships/hyperlink" Target="https://assets.publishing.service.gov.uk/media/690cd04e276dd02bc451ab66/Operation%2BEncompass%2BStatutory%2BGuidance.pdf" TargetMode="External"/><Relationship Id="rId280" Type="http://schemas.openxmlformats.org/officeDocument/2006/relationships/hyperlink" Target="https://www.gov.uk/government/publications/national-action-plan-to-tackle-child-abuse-linked-to-faith-or-belief" TargetMode="External"/><Relationship Id="rId336" Type="http://schemas.openxmlformats.org/officeDocument/2006/relationships/hyperlink" Target="https://gbr01.safelinks.protection.outlook.com/?url=https%3A%2F%2Fwww.catch-22.org.uk%2Ffind-services%2Fcounty-lines-support-and-rescue%2F&amp;data=05%7C02%7CSamantha.Darby1%40homeoffice.gov.uk%7Cc147a546ba4d436ec2c208de0afde04a%7Cf24d93ecb2914192a08af182245945c2%7C0%7C0%7C638960282679661775%7CUnknown%7CTWFpbGZsb3d8eyJFbXB0eU1hcGkiOnRydWUsIlYiOiIwLjAuMDAwMCIsIlAiOiJXaW4zMiIsIkFOIjoiTWFpbCIsIldUIjoyfQ%3D%3D%7C0%7C%7C%7C&amp;sdata=cUHXsYl6aWWRNOilSnWPLSuYXBF94scs43B3DGIoI5g%3D&amp;reserved=0" TargetMode="External"/><Relationship Id="rId501"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543" Type="http://schemas.openxmlformats.org/officeDocument/2006/relationships/hyperlink" Target="https://www.childnet.com/resources/just-a-joke/" TargetMode="External"/><Relationship Id="rId75" Type="http://schemas.openxmlformats.org/officeDocument/2006/relationships/hyperlink" Target="https://www.gov.uk/government/publications/working-together-to-safeguard-children--2" TargetMode="External"/><Relationship Id="rId140" Type="http://schemas.openxmlformats.org/officeDocument/2006/relationships/hyperlink" Target="https://www.gov.uk/government/publications/working-together-to-safeguard-children--2" TargetMode="External"/><Relationship Id="rId182" Type="http://schemas.openxmlformats.org/officeDocument/2006/relationships/hyperlink" Target="https://www.gov.uk/guidance/making-a-referral-to-prevent" TargetMode="External"/><Relationship Id="rId378" Type="http://schemas.openxmlformats.org/officeDocument/2006/relationships/hyperlink" Target="https://learning.nspcc.org.uk/research-resources/schools/e-safety-for-schools" TargetMode="External"/><Relationship Id="rId403" Type="http://schemas.openxmlformats.org/officeDocument/2006/relationships/hyperlink" Target="https://www.gov.uk/guidance/safeguarding-and-remote-education-during-coronavirus-covid-19" TargetMode="External"/><Relationship Id="rId6" Type="http://schemas.openxmlformats.org/officeDocument/2006/relationships/endnotes" Target="endnotes.xml"/><Relationship Id="rId238" Type="http://schemas.openxmlformats.org/officeDocument/2006/relationships/hyperlink" Target="https://www.gov.uk/government/collections/the-police-crime-sentencing-and-courts-bill" TargetMode="External"/><Relationship Id="rId445" Type="http://schemas.openxmlformats.org/officeDocument/2006/relationships/hyperlink" Target="https://www.gov.uk/government/publications/uk-cmo-commentary-on-screen-time-and-social-media-map-of-reviews" TargetMode="External"/><Relationship Id="rId487"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291" Type="http://schemas.openxmlformats.org/officeDocument/2006/relationships/hyperlink" Target="https://www.gov.uk/government/publications/preventing-and-tackling-bullying" TargetMode="External"/><Relationship Id="rId305"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347" Type="http://schemas.openxmlformats.org/officeDocument/2006/relationships/hyperlink" Target="https://www.gov.uk/government/collections/female-genital-mutilation" TargetMode="External"/><Relationship Id="rId512" Type="http://schemas.openxmlformats.org/officeDocument/2006/relationships/hyperlink" Target="https://learning.nspcc.org.uk/research-resources/2019/harmful-sexual-behaviour-framework" TargetMode="External"/><Relationship Id="rId44" Type="http://schemas.openxmlformats.org/officeDocument/2006/relationships/hyperlink" Target="https://www.gov.uk/government/publications/working-together-to-safeguard-children--2" TargetMode="External"/><Relationship Id="rId86" Type="http://schemas.openxmlformats.org/officeDocument/2006/relationships/hyperlink" Target="http://www.clevernevergoes.org/" TargetMode="External"/><Relationship Id="rId151" Type="http://schemas.openxmlformats.org/officeDocument/2006/relationships/hyperlink" Target="https://www.operationencompass.org/" TargetMode="External"/><Relationship Id="rId389" Type="http://schemas.openxmlformats.org/officeDocument/2006/relationships/hyperlink" Target="https://www.gov.uk/government/collections/online-safety-guidance-if-you-own-or-manage-an-online-platform" TargetMode="External"/><Relationship Id="rId55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3" Type="http://schemas.openxmlformats.org/officeDocument/2006/relationships/hyperlink" Target="https://www.support-people-vulnerable-to-radicalisation.service.gov.uk/portal" TargetMode="External"/><Relationship Id="rId207" Type="http://schemas.openxmlformats.org/officeDocument/2006/relationships/hyperlink" Target="https://educateagainsthate.com/" TargetMode="External"/><Relationship Id="rId249" Type="http://schemas.openxmlformats.org/officeDocument/2006/relationships/hyperlink" Target="https://www.gov.uk/government/publications/mandatory-reporting-of-female-genital-mutilation-procedural-information" TargetMode="External"/><Relationship Id="rId414" Type="http://schemas.openxmlformats.org/officeDocument/2006/relationships/hyperlink" Target="https://www.ceop.police.uk/safety-centre/" TargetMode="External"/><Relationship Id="rId456" Type="http://schemas.openxmlformats.org/officeDocument/2006/relationships/hyperlink" Target="http://preventforfeandtraining.org.uk/" TargetMode="External"/><Relationship Id="rId498" Type="http://schemas.openxmlformats.org/officeDocument/2006/relationships/hyperlink" Target="https://www.thesurvivorstrust.org/" TargetMode="External"/><Relationship Id="rId13" Type="http://schemas.openxmlformats.org/officeDocument/2006/relationships/hyperlink" Target="https://www.gov.uk/government/publications/working-together-to-safeguard-children--2" TargetMode="External"/><Relationship Id="rId109" Type="http://schemas.openxmlformats.org/officeDocument/2006/relationships/hyperlink" Target="https://www.gov.uk/government/publications/young-witness-booklet-for-5-to-11-year-olds" TargetMode="External"/><Relationship Id="rId260" Type="http://schemas.openxmlformats.org/officeDocument/2006/relationships/hyperlink" Target="https://www.gov.uk/government/publications/multi-agency-statutory-guidance-on-female-genital-mutilation" TargetMode="External"/><Relationship Id="rId316" Type="http://schemas.openxmlformats.org/officeDocument/2006/relationships/hyperlink" Target="https://www.gov.uk/government/publications/modern-slavery-how-to-identify-and-support-victims" TargetMode="External"/><Relationship Id="rId523" Type="http://schemas.openxmlformats.org/officeDocument/2006/relationships/hyperlink" Target="https://www.victimsupport.org.uk/" TargetMode="External"/><Relationship Id="rId55" Type="http://schemas.openxmlformats.org/officeDocument/2006/relationships/hyperlink" Target="https://www.contextualsafeguarding.org.uk/" TargetMode="External"/><Relationship Id="rId97"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20" Type="http://schemas.openxmlformats.org/officeDocument/2006/relationships/hyperlink" Target="https://www.npcc.police.uk/SysSiteAssets/media/downloads/publications/publications-log/2020/when-to-call-the-police--guidance-for-schools-and-colleges.pdf" TargetMode="External"/><Relationship Id="rId358" Type="http://schemas.openxmlformats.org/officeDocument/2006/relationships/hyperlink" Target="https://www.gov.uk/government/publications/supporting-pupils-at-school-with-medical-conditions--3" TargetMode="External"/><Relationship Id="rId565" Type="http://schemas.openxmlformats.org/officeDocument/2006/relationships/image" Target="media/image2.png"/><Relationship Id="rId162" Type="http://schemas.openxmlformats.org/officeDocument/2006/relationships/hyperlink" Target="https://www.gov.uk/government/publications/controlling-or-coercive-behaviour-statutory-guidance-framework/controlling-or-coercive-behaviour-statutory-guidance-framework-accessible" TargetMode="External"/><Relationship Id="rId218" Type="http://schemas.openxmlformats.org/officeDocument/2006/relationships/hyperlink" Target="https://prevent.lgfl.net/" TargetMode="External"/><Relationship Id="rId425" Type="http://schemas.openxmlformats.org/officeDocument/2006/relationships/hyperlink" Target="https://www.internetmatters.org/?gclid=EAIaIQobChMIktuA5LWK2wIVRYXVCh2afg2aEAAYASAAEgIJ5vD_BwE" TargetMode="External"/><Relationship Id="rId467" Type="http://schemas.openxmlformats.org/officeDocument/2006/relationships/hyperlink" Target="https://assets.publishing.service.gov.uk/government/uploads/system/uploads/attachment_data/file/819840/analysis-of-indicators-of-serious-violence-horr110.pdf" TargetMode="External"/><Relationship Id="rId271" Type="http://schemas.openxmlformats.org/officeDocument/2006/relationships/hyperlink" Target="https://www.csacentre.org.uk/research-resources/practice-resources/helping-education-settings-identify-and-respond-to-concerns/" TargetMode="External"/><Relationship Id="rId24" Type="http://schemas.openxmlformats.org/officeDocument/2006/relationships/hyperlink" Target="https://youthendowmentfund.org.uk/" TargetMode="External"/><Relationship Id="rId66" Type="http://schemas.openxmlformats.org/officeDocument/2006/relationships/hyperlink" Target="https://www.gov.uk/government/publications/working-together-to-safeguard-children--2" TargetMode="External"/><Relationship Id="rId131" Type="http://schemas.openxmlformats.org/officeDocument/2006/relationships/hyperlink" Target="https://assets.publishing.service.gov.uk/media/690cd04e276dd02bc451ab66/Operation%2BEncompass%2BStatutory%2BGuidance.pdf" TargetMode="External"/><Relationship Id="rId327" Type="http://schemas.openxmlformats.org/officeDocument/2006/relationships/hyperlink" Target="https://tce.researchinpractice.org.uk/" TargetMode="External"/><Relationship Id="rId369" Type="http://schemas.openxmlformats.org/officeDocument/2006/relationships/hyperlink" Target="https://www.gov.uk/government/publications/safeguarding-practitioners-information-sharing-advice" TargetMode="External"/><Relationship Id="rId534" Type="http://schemas.openxmlformats.org/officeDocument/2006/relationships/hyperlink" Target="https://learning.nspcc.org.uk/research-resources/2019/harmful-sexual-behaviour-framework" TargetMode="External"/><Relationship Id="rId576" Type="http://schemas.openxmlformats.org/officeDocument/2006/relationships/footer" Target="footer4.xml"/><Relationship Id="rId173" Type="http://schemas.openxmlformats.org/officeDocument/2006/relationships/hyperlink" Target="https://www.gov.uk/government/publications/modern-slavery-training-resource-page/modern-slavery-training-resource-page" TargetMode="External"/><Relationship Id="rId229" Type="http://schemas.openxmlformats.org/officeDocument/2006/relationships/hyperlink" Target="https://www.gov.uk/government/publications/criminal-exploitation-of-children-and-vulnerable-adults-county-lines" TargetMode="External"/><Relationship Id="rId380" Type="http://schemas.openxmlformats.org/officeDocument/2006/relationships/hyperlink" Target="https://www.saferrecruitmentconsortium.org/" TargetMode="External"/><Relationship Id="rId436" Type="http://schemas.openxmlformats.org/officeDocument/2006/relationships/hyperlink" Target="https://parentzone.org.uk/" TargetMode="External"/><Relationship Id="rId240" Type="http://schemas.openxmlformats.org/officeDocument/2006/relationships/hyperlink" Target="https://assets.publishing.service.gov.uk/media/639b2ec3e90e072186e1803c/Final_Serious_Violence_Duty_Statutory_Guidance_-_December_2022.pdf" TargetMode="External"/><Relationship Id="rId478" Type="http://schemas.openxmlformats.org/officeDocument/2006/relationships/hyperlink" Target="https://www.gov.uk/government/publications/violence-against-women-and-girls-national-statement-of-expectations" TargetMode="External"/><Relationship Id="rId35" Type="http://schemas.openxmlformats.org/officeDocument/2006/relationships/hyperlink" Target="https://www.gov.uk/government/publications/safeguarding-practitioners-information-sharing-advice" TargetMode="External"/><Relationship Id="rId77" Type="http://schemas.openxmlformats.org/officeDocument/2006/relationships/hyperlink" Target="https://www.gov.uk/whistleblowing" TargetMode="External"/><Relationship Id="rId100" Type="http://schemas.openxmlformats.org/officeDocument/2006/relationships/hyperlink" Target="https://www.gov.uk/government/publications/child-sexual-exploitation-definition-and-guide-for-practitioners" TargetMode="External"/><Relationship Id="rId282" Type="http://schemas.openxmlformats.org/officeDocument/2006/relationships/hyperlink" Target="https://www.gov.uk/government/publications/forced-marriage-resource-pack" TargetMode="External"/><Relationship Id="rId338" Type="http://schemas.openxmlformats.org/officeDocument/2006/relationships/hyperlink" Target="https://www.nspcc.org.uk/preventing-abuse/child-protection-system/legal-definition-child-rights-law/gillick-competency-fraser-guidelines/" TargetMode="External"/><Relationship Id="rId503" Type="http://schemas.openxmlformats.org/officeDocument/2006/relationships/hyperlink" Target="https://shorespace.org.uk/" TargetMode="External"/><Relationship Id="rId545" Type="http://schemas.openxmlformats.org/officeDocument/2006/relationships/hyperlink" Target="https://www.childnet.com/resources/step-up-speak-up" TargetMode="External"/><Relationship Id="rId8" Type="http://schemas.openxmlformats.org/officeDocument/2006/relationships/hyperlink" Target="https://www.gov.uk/government/publications/keeping-children-safe-in-education--2" TargetMode="External"/><Relationship Id="rId142" Type="http://schemas.openxmlformats.org/officeDocument/2006/relationships/hyperlink" Target="https://www.operationencompass.org/operation-encompass-on-line-key-adult-briefing" TargetMode="External"/><Relationship Id="rId184" Type="http://schemas.openxmlformats.org/officeDocument/2006/relationships/hyperlink" Target="https://www.gov.uk/government/publications/prevent-duty-guidance" TargetMode="External"/><Relationship Id="rId391" Type="http://schemas.openxmlformats.org/officeDocument/2006/relationships/hyperlink" Target="https://www.gov.uk/government/collections/a-business-guide-for-protecting-children-on-your-online-platform" TargetMode="External"/><Relationship Id="rId405" Type="http://schemas.openxmlformats.org/officeDocument/2006/relationships/hyperlink" Target="https://remotesafe.lgfl.net/" TargetMode="External"/><Relationship Id="rId447" Type="http://schemas.openxmlformats.org/officeDocument/2006/relationships/hyperlink" Target="https://www.gov.uk/government/publications/children-act-1989-private-fostering" TargetMode="External"/><Relationship Id="rId251" Type="http://schemas.openxmlformats.org/officeDocument/2006/relationships/hyperlink" Target="https://www.gov.uk/government/publications/mandatory-reporting-of-female-genital-mutilation-procedural-information" TargetMode="External"/><Relationship Id="rId489" Type="http://schemas.openxmlformats.org/officeDocument/2006/relationships/hyperlink" Target="https://rapecrisis.org.uk/" TargetMode="External"/><Relationship Id="rId46" Type="http://schemas.openxmlformats.org/officeDocument/2006/relationships/hyperlink" Target="https://www.gov.uk/government/publications/working-together-to-safeguard-children--2" TargetMode="External"/><Relationship Id="rId293" Type="http://schemas.openxmlformats.org/officeDocument/2006/relationships/hyperlink" Target="https://www.gov.uk/government/publications/children-missing-education" TargetMode="External"/><Relationship Id="rId307"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349" Type="http://schemas.openxmlformats.org/officeDocument/2006/relationships/hyperlink" Target="https://www.gov.uk/government/publications/multi-agency-statutory-guidance-on-female-genital-mutilation" TargetMode="External"/><Relationship Id="rId514" Type="http://schemas.openxmlformats.org/officeDocument/2006/relationships/hyperlink" Target="https://www.contextualsafeguarding.org.uk/resources/toolkit-overview/beyond-referrals-harmful-sexual-behaviour/" TargetMode="External"/><Relationship Id="rId55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11" Type="http://schemas.openxmlformats.org/officeDocument/2006/relationships/hyperlink" Target="https://www.gov.uk/government/publications/young-witness-booklet-for-12-to-17-year-olds" TargetMode="External"/><Relationship Id="rId153" Type="http://schemas.openxmlformats.org/officeDocument/2006/relationships/hyperlink" Target="https://www.nspcc.org.uk/preventing-abuse/child-abuse-and-neglect/domestic-abuse/signs-symptoms-effects/" TargetMode="External"/><Relationship Id="rId195" Type="http://schemas.openxmlformats.org/officeDocument/2006/relationships/hyperlink" Target="https://www.support-people-vulnerable-to-radicalisation.service.gov.uk/portal" TargetMode="External"/><Relationship Id="rId209" Type="http://schemas.openxmlformats.org/officeDocument/2006/relationships/hyperlink" Target="https://etfoundation.co.uk/professional-development/etf-offer-by-topics/safeguarding-and-prevent/" TargetMode="External"/><Relationship Id="rId360" Type="http://schemas.openxmlformats.org/officeDocument/2006/relationships/hyperlink" Target="https://www.gov.uk/government/publications/mental-health-and-behaviour-in-schools--2" TargetMode="External"/><Relationship Id="rId416" Type="http://schemas.openxmlformats.org/officeDocument/2006/relationships/hyperlink" Target="https://www.childnet.com/parents-and-carers/parent-and-carer-toolkit" TargetMode="External"/><Relationship Id="rId220" Type="http://schemas.openxmlformats.org/officeDocument/2006/relationships/hyperlink" Target="https://prevent.lgfl.net/" TargetMode="External"/><Relationship Id="rId458" Type="http://schemas.openxmlformats.org/officeDocument/2006/relationships/hyperlink" Target="https://prevent.lgfl.net/" TargetMode="External"/><Relationship Id="rId15" Type="http://schemas.openxmlformats.org/officeDocument/2006/relationships/hyperlink" Target="https://www.legislation.gov.uk/ukpga/2003/42/part/1/crossheading/rape-and-other-offences-against-children-under-13" TargetMode="External"/><Relationship Id="rId57" Type="http://schemas.openxmlformats.org/officeDocument/2006/relationships/hyperlink" Target="https://www.gov.uk/report-child-abuse-to-local-council" TargetMode="External"/><Relationship Id="rId262" Type="http://schemas.openxmlformats.org/officeDocument/2006/relationships/hyperlink" Target="https://www.gov.uk/government/publications/female-genital-mutilation-resource-pack" TargetMode="External"/><Relationship Id="rId318" Type="http://schemas.openxmlformats.org/officeDocument/2006/relationships/hyperlink" Target="https://www.gov.uk/government/publications/child-exploitation-disruption-toolkit" TargetMode="External"/><Relationship Id="rId525"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567" Type="http://schemas.openxmlformats.org/officeDocument/2006/relationships/hyperlink" Target="http://www.nationalarchives.gov.uk/doc/open-government-licence/version/3" TargetMode="External"/><Relationship Id="rId99" Type="http://schemas.openxmlformats.org/officeDocument/2006/relationships/hyperlink" Target="https://www.gov.uk/government/publications/child-sexual-exploitation-definition-and-guide-for-practitioners" TargetMode="External"/><Relationship Id="rId122" Type="http://schemas.openxmlformats.org/officeDocument/2006/relationships/hyperlink" Target="https://www.ncsc.gov.uk/" TargetMode="External"/><Relationship Id="rId164" Type="http://schemas.openxmlformats.org/officeDocument/2006/relationships/hyperlink" Target="https://www.gov.uk/government/publications/homelessness-reduction-bill-policy-factsheets" TargetMode="External"/><Relationship Id="rId371" Type="http://schemas.openxmlformats.org/officeDocument/2006/relationships/hyperlink" Target="https://ico.org.uk/for-organisations/data-sharing-information-hub/" TargetMode="External"/><Relationship Id="rId427" Type="http://schemas.openxmlformats.org/officeDocument/2006/relationships/hyperlink" Target="https://www.mariecollinsfoundation.org.uk/" TargetMode="External"/><Relationship Id="rId469" Type="http://schemas.openxmlformats.org/officeDocument/2006/relationships/hyperlink" Target="https://assets.publishing.service.gov.uk/government/uploads/system/uploads/attachment_data/file/819840/analysis-of-indicators-of-serious-violence-horr110.pdf" TargetMode="External"/><Relationship Id="rId26" Type="http://schemas.openxmlformats.org/officeDocument/2006/relationships/hyperlink" Target="https://youthendowmentfund.org.uk/" TargetMode="External"/><Relationship Id="rId231" Type="http://schemas.openxmlformats.org/officeDocument/2006/relationships/hyperlink" Target="https://www.gov.uk/government/publications/criminal-exploitation-of-children-and-vulnerable-adults-county-lines" TargetMode="External"/><Relationship Id="rId273" Type="http://schemas.openxmlformats.org/officeDocument/2006/relationships/hyperlink" Target="https://www.csacentre.org.uk/research-resources/practice-resources/helping-education-settings-identify-and-respond-to-concerns/" TargetMode="External"/><Relationship Id="rId329" Type="http://schemas.openxmlformats.org/officeDocument/2006/relationships/hyperlink" Target="https://tce.researchinpractice.org.uk/" TargetMode="External"/><Relationship Id="rId480" Type="http://schemas.openxmlformats.org/officeDocument/2006/relationships/hyperlink" Target="https://www.barnardos.org.uk/?gclid=EAIaIQobChMIspfntMWB2AIVCrHtCh38DwkAEAAYASAAEgJPt_D_BwE" TargetMode="External"/><Relationship Id="rId536" Type="http://schemas.openxmlformats.org/officeDocument/2006/relationships/hyperlink" Target="https://learning.nspcc.org.uk/research-resources/2019/harmful-sexual-behaviour-framework" TargetMode="External"/><Relationship Id="rId68" Type="http://schemas.openxmlformats.org/officeDocument/2006/relationships/hyperlink" Target="https://www.legislation.gov.uk/ukpga/1989/41/section/47" TargetMode="External"/><Relationship Id="rId133" Type="http://schemas.openxmlformats.org/officeDocument/2006/relationships/hyperlink" Target="https://assets.publishing.service.gov.uk/media/690cd04e276dd02bc451ab66/Operation%2BEncompass%2BStatutory%2BGuidance.pdf" TargetMode="External"/><Relationship Id="rId175" Type="http://schemas.openxmlformats.org/officeDocument/2006/relationships/hyperlink" Target="https://www.gov.uk/government/publications/modern-slavery-how-to-identify-and-support-victims" TargetMode="External"/><Relationship Id="rId340" Type="http://schemas.openxmlformats.org/officeDocument/2006/relationships/hyperlink" Target="https://www.gov.uk/government/publications/from-harm-to-hope-a-10-year-drugs-plan-to-cut-crime-and-save-lives/from-harm-to-hope-a-10-year-drugs-plan-to-cut-crime-and-save-lives" TargetMode="External"/><Relationship Id="rId578" Type="http://schemas.openxmlformats.org/officeDocument/2006/relationships/footer" Target="footer6.xml"/><Relationship Id="rId200" Type="http://schemas.openxmlformats.org/officeDocument/2006/relationships/hyperlink" Target="http://www.elearning.prevent.homeoffice.gov.uk/" TargetMode="External"/><Relationship Id="rId382" Type="http://schemas.openxmlformats.org/officeDocument/2006/relationships/hyperlink" Target="http://www.gov.uk/government/publications/searching-screening-and-confiscation" TargetMode="External"/><Relationship Id="rId438" Type="http://schemas.openxmlformats.org/officeDocument/2006/relationships/hyperlink" Target="https://www.childrenscommissioner.gov.uk/report/talking-to-your-child-about-online-sexual-harassment-a-guide-for-parents/" TargetMode="External"/><Relationship Id="rId242" Type="http://schemas.openxmlformats.org/officeDocument/2006/relationships/hyperlink" Target="https://assets.publishing.service.gov.uk/media/639b2ec3e90e072186e1803c/Final_Serious_Violence_Duty_Statutory_Guidance_-_December_2022.pdf" TargetMode="External"/><Relationship Id="rId284" Type="http://schemas.openxmlformats.org/officeDocument/2006/relationships/hyperlink" Target="https://www.gov.uk/government/collections/disrespect-nobody-campaign" TargetMode="External"/><Relationship Id="rId491" Type="http://schemas.openxmlformats.org/officeDocument/2006/relationships/hyperlink" Target="https://www.saferinternet.org.uk/" TargetMode="External"/><Relationship Id="rId505" Type="http://schemas.openxmlformats.org/officeDocument/2006/relationships/hyperlink" Target="https://learning.nspcc.org.uk/child-abuse-and-neglect/harmful-sexual-behaviour" TargetMode="External"/><Relationship Id="rId37" Type="http://schemas.openxmlformats.org/officeDocument/2006/relationships/hyperlink" Target="https://www.gov.uk/government/publications/safeguarding-practitioners-information-sharing-advice" TargetMode="External"/><Relationship Id="rId79" Type="http://schemas.openxmlformats.org/officeDocument/2006/relationships/hyperlink" Target="https://www.gov.uk/whistleblowing" TargetMode="External"/><Relationship Id="rId102"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144" Type="http://schemas.openxmlformats.org/officeDocument/2006/relationships/hyperlink" Target="https://www.operationencompass.org/operation-encompass-on-line-key-adult-briefing" TargetMode="External"/><Relationship Id="rId547" Type="http://schemas.openxmlformats.org/officeDocument/2006/relationships/hyperlink" Target="https://learning.nspcc.org.uk/research-resources/2019/harmful-sexual-behaviour-framework" TargetMode="External"/><Relationship Id="rId90"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86" Type="http://schemas.openxmlformats.org/officeDocument/2006/relationships/hyperlink" Target="https://www.gov.uk/government/publications/prevent-duty-guidance" TargetMode="External"/><Relationship Id="rId351" Type="http://schemas.openxmlformats.org/officeDocument/2006/relationships/hyperlink" Target="https://www.gov.uk/guidance/forced-marriage" TargetMode="External"/><Relationship Id="rId393" Type="http://schemas.openxmlformats.org/officeDocument/2006/relationships/hyperlink" Target="https://www.gov.uk/government/collections/a-business-guide-for-protecting-children-on-your-online-platform" TargetMode="External"/><Relationship Id="rId407" Type="http://schemas.openxmlformats.org/officeDocument/2006/relationships/hyperlink" Target="https://www.ncsc.gov.uk/guidance/video-conferencing-services-security-guidance-organisations" TargetMode="External"/><Relationship Id="rId449" Type="http://schemas.openxmlformats.org/officeDocument/2006/relationships/hyperlink" Target="https://www.gov.uk/government/publications/prevent-duty-guidance" TargetMode="External"/><Relationship Id="rId211" Type="http://schemas.openxmlformats.org/officeDocument/2006/relationships/hyperlink" Target="https://etfoundation.co.uk/professional-development/etf-offer-by-topics/safeguarding-and-prevent/" TargetMode="External"/><Relationship Id="rId253" Type="http://schemas.openxmlformats.org/officeDocument/2006/relationships/hyperlink" Target="https://www.gov.uk/government/uploads/system/uploads/attachment_data/file/496415/6_1639_HO_SP_FGM_mandatory_reporting_Fact_sheet_Web.pdf" TargetMode="External"/><Relationship Id="rId295" Type="http://schemas.openxmlformats.org/officeDocument/2006/relationships/hyperlink" Target="https://www.gov.uk/government/publications/children-who-run-away-or-go-missing-from-home-or-care" TargetMode="External"/><Relationship Id="rId309"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460" Type="http://schemas.openxmlformats.org/officeDocument/2006/relationships/hyperlink" Target="https://www.gov.uk/government/publications/the-prevent-duty-safeguarding-learners-vulnerable-to-radicalisation/managing-risk-of-radicalisation-in-your-education-setting" TargetMode="External"/><Relationship Id="rId516" Type="http://schemas.openxmlformats.org/officeDocument/2006/relationships/hyperlink" Target="https://www.stopitnow.org.uk/concerned-about-a-child-or-young-persons-sexual-behaviour/preventing-harmful-sexual-behaviour/"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113" Type="http://schemas.openxmlformats.org/officeDocument/2006/relationships/hyperlink" Target="https://helpwithchildarrangements.service.justice.gov.uk/" TargetMode="External"/><Relationship Id="rId320" Type="http://schemas.openxmlformats.org/officeDocument/2006/relationships/hyperlink" Target="https://www.gov.uk/government/publications/child-exploitation-disruption-toolkit" TargetMode="External"/><Relationship Id="rId55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55" Type="http://schemas.openxmlformats.org/officeDocument/2006/relationships/hyperlink" Target="https://refuge.org.uk/what-is-domestic-abuse/" TargetMode="External"/><Relationship Id="rId197" Type="http://schemas.openxmlformats.org/officeDocument/2006/relationships/hyperlink" Target="https://www.gov.uk/government/publications/the-prevent-duty-safeguarding-learners-vulnerable-to-radicalisation" TargetMode="External"/><Relationship Id="rId362" Type="http://schemas.openxmlformats.org/officeDocument/2006/relationships/hyperlink" Target="https://www.gov.uk/government/publications/mental-health-and-behaviour-in-schools--2" TargetMode="External"/><Relationship Id="rId418" Type="http://schemas.openxmlformats.org/officeDocument/2006/relationships/hyperlink" Target="http://www.commonsensemedia.org/" TargetMode="External"/><Relationship Id="rId222" Type="http://schemas.openxmlformats.org/officeDocument/2006/relationships/hyperlink" Target="https://prevent.lgfl.net/" TargetMode="External"/><Relationship Id="rId264"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71"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7" Type="http://schemas.openxmlformats.org/officeDocument/2006/relationships/hyperlink" Target="https://www.legislation.gov.uk/ukpga/2003/42/part/1/crossheading/child-sex-offences" TargetMode="External"/><Relationship Id="rId59" Type="http://schemas.openxmlformats.org/officeDocument/2006/relationships/hyperlink" Target="https://www.legislation.gov.uk/ukpga/1989/41/contents" TargetMode="External"/><Relationship Id="rId124" Type="http://schemas.openxmlformats.org/officeDocument/2006/relationships/hyperlink" Target="https://www.ncsc.gov.uk/" TargetMode="External"/><Relationship Id="rId527" Type="http://schemas.openxmlformats.org/officeDocument/2006/relationships/hyperlink" Target="https://learning.nspcc.org.uk/safeguarding-self-assessment-tool" TargetMode="External"/><Relationship Id="rId569" Type="http://schemas.openxmlformats.org/officeDocument/2006/relationships/hyperlink" Target="https://www.gov.uk/contact-dfe" TargetMode="External"/><Relationship Id="rId70" Type="http://schemas.openxmlformats.org/officeDocument/2006/relationships/hyperlink" Target="https://www.gov.uk/government/publications/working-together-to-safeguard-children--2" TargetMode="External"/><Relationship Id="rId166" Type="http://schemas.openxmlformats.org/officeDocument/2006/relationships/hyperlink" Target="https://www.gov.uk/government/publications/homelessness-reduction-bill-policy-factsheets" TargetMode="External"/><Relationship Id="rId331" Type="http://schemas.openxmlformats.org/officeDocument/2006/relationships/hyperlink" Target="https://gbr01.safelinks.protection.outlook.com/?url=https%3A%2F%2Fwww.missingpeople.org.uk%2Fget-help%2Fhelp-services%2Fexploitation-and-county-lines%2Fwhat-is-county-lines&amp;data=05%7C02%7CSamantha.Darby1%40homeoffice.gov.uk%7Cc147a546ba4d436ec2c208de0afde04a%7Cf24d93ecb2914192a08af182245945c2%7C0%7C0%7C638960282679689119%7CUnknown%7CTWFpbGZsb3d8eyJFbXB0eU1hcGkiOnRydWUsIlYiOiIwLjAuMDAwMCIsIlAiOiJXaW4zMiIsIkFOIjoiTWFpbCIsIldUIjoyfQ%3D%3D%7C0%7C%7C%7C&amp;sdata=ZZkzBgUHEC2bWjnXET6PIYn81d6syleBQ1qtg9dGD88%3D&amp;reserved=0" TargetMode="External"/><Relationship Id="rId373" Type="http://schemas.openxmlformats.org/officeDocument/2006/relationships/hyperlink" Target="https://www.childnet.com/resources/cyberbullying-guidance-for-schools" TargetMode="External"/><Relationship Id="rId429" Type="http://schemas.openxmlformats.org/officeDocument/2006/relationships/hyperlink" Target="https://parentsafe.lgfl.net/" TargetMode="External"/><Relationship Id="rId580" Type="http://schemas.openxmlformats.org/officeDocument/2006/relationships/theme" Target="theme/theme1.xml"/><Relationship Id="rId1" Type="http://schemas.openxmlformats.org/officeDocument/2006/relationships/numbering" Target="numbering.xml"/><Relationship Id="rId233" Type="http://schemas.openxmlformats.org/officeDocument/2006/relationships/hyperlink" Target="https://youthendowmentfund.org.uk/reports/education-guidance/" TargetMode="External"/><Relationship Id="rId440" Type="http://schemas.openxmlformats.org/officeDocument/2006/relationships/hyperlink" Target="https://www.gov.uk/government/publications/uk-cmo-commentary-on-screen-time-and-social-media-map-of-reviews" TargetMode="External"/><Relationship Id="rId28" Type="http://schemas.openxmlformats.org/officeDocument/2006/relationships/hyperlink" Target="https://www.gov.uk/government/publications/what-to-do-if-youre-worried-a-child-is-being-abused--2" TargetMode="External"/><Relationship Id="rId275" Type="http://schemas.openxmlformats.org/officeDocument/2006/relationships/hyperlink" Target="https://www.csacentre.org.uk/research-resources/practice-resources/signs-and-indicators/" TargetMode="External"/><Relationship Id="rId300" Type="http://schemas.openxmlformats.org/officeDocument/2006/relationships/hyperlink" Target="https://www.prisonersfamilies.org/" TargetMode="External"/><Relationship Id="rId482" Type="http://schemas.openxmlformats.org/officeDocument/2006/relationships/hyperlink" Target="https://www.lucyfaithfull.org.uk/" TargetMode="External"/><Relationship Id="rId538" Type="http://schemas.openxmlformats.org/officeDocument/2006/relationships/hyperlink" Target="https://www.farrer.co.uk/News/Briefings/PEER-ON-PEER-ABUSE-TOOLKIT/" TargetMode="External"/><Relationship Id="rId81" Type="http://schemas.openxmlformats.org/officeDocument/2006/relationships/hyperlink" Target="https://www.nspcc.org.uk/what-you-can-do/report-abuse/dedicated-helplines/whistleblowing-advice-line/" TargetMode="External"/><Relationship Id="rId135" Type="http://schemas.openxmlformats.org/officeDocument/2006/relationships/hyperlink" Target="https://www.gov.uk/government/publications/keeping-children-safe-in-education--2" TargetMode="External"/><Relationship Id="rId177" Type="http://schemas.openxmlformats.org/officeDocument/2006/relationships/hyperlink" Target="https://www.gov.uk/government/publications/modern-slavery-how-to-identify-and-support-victims" TargetMode="External"/><Relationship Id="rId342" Type="http://schemas.openxmlformats.org/officeDocument/2006/relationships/hyperlink" Target="http://www.talktofrank.com/" TargetMode="External"/><Relationship Id="rId384" Type="http://schemas.openxmlformats.org/officeDocument/2006/relationships/hyperlink" Target="http://www.swgfl.org.uk/" TargetMode="External"/><Relationship Id="rId202" Type="http://schemas.openxmlformats.org/officeDocument/2006/relationships/hyperlink" Target="https://www.elearning.prevent.homeoffice.gov.uk/preventreferrals" TargetMode="External"/><Relationship Id="rId244" Type="http://schemas.openxmlformats.org/officeDocument/2006/relationships/hyperlink" Target="https://assets.publishing.service.gov.uk/media/639b2ec3e90e072186e1803c/Final_Serious_Violence_Duty_Statutory_Guidance_-_December_2022.pdf" TargetMode="External"/><Relationship Id="rId39" Type="http://schemas.openxmlformats.org/officeDocument/2006/relationships/hyperlink" Target="https://www.gov.uk/government/publications/safeguarding-practitioners-information-sharing-advice" TargetMode="External"/><Relationship Id="rId286" Type="http://schemas.openxmlformats.org/officeDocument/2006/relationships/hyperlink" Target="https://www.gov.uk/government/publications/tackling-child-sexual-abuse-strategy" TargetMode="External"/><Relationship Id="rId451" Type="http://schemas.openxmlformats.org/officeDocument/2006/relationships/hyperlink" Target="https://www.gov.uk/government/publications/the-prevent-duty-safeguarding-learners-vulnerable-to-radicalisation" TargetMode="External"/><Relationship Id="rId493" Type="http://schemas.openxmlformats.org/officeDocument/2006/relationships/hyperlink" Target="https://www.saferinternet.org.uk/advice-and-resources" TargetMode="External"/><Relationship Id="rId507" Type="http://schemas.openxmlformats.org/officeDocument/2006/relationships/hyperlink" Target="https://learning.nspcc.org.uk/research-resources/2019/harmful-sexual-behaviour-framework" TargetMode="External"/><Relationship Id="rId549" Type="http://schemas.openxmlformats.org/officeDocument/2006/relationships/hyperlink" Target="https://www.farrer.co.uk/globalassets/clients-and-sectors/safeguarding/addressing-child-on-child-abuse/" TargetMode="External"/><Relationship Id="rId50" Type="http://schemas.openxmlformats.org/officeDocument/2006/relationships/hyperlink" Target="https://www.npcc.police.uk/SysSiteAssets/media/downloads/publications/publications-log/2020/when-to-call-the-police--guidance-for-schools-and-colleges.pdf" TargetMode="External"/><Relationship Id="rId104"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146" Type="http://schemas.openxmlformats.org/officeDocument/2006/relationships/hyperlink" Target="https://www.operationencompass.org/operation-encompass-on-line-key-adult-briefing" TargetMode="External"/><Relationship Id="rId188" Type="http://schemas.openxmlformats.org/officeDocument/2006/relationships/hyperlink" Target="https://www.gov.uk/government/publications/channel-guidance" TargetMode="External"/><Relationship Id="rId311" Type="http://schemas.openxmlformats.org/officeDocument/2006/relationships/hyperlink" Target="https://assets.publishing.service.gov.uk/media/66432b8d4f29e1d07fadc66f/080524%2BFinal%2Bformatted%2B-%2BInterim%2Bguidance%2Bfor%2BIndependent%2BChild%2BTrafficking%2BGuardians%2B2425%2Bupdate.pdf" TargetMode="External"/><Relationship Id="rId353" Type="http://schemas.openxmlformats.org/officeDocument/2006/relationships/hyperlink" Target="https://www.gov.uk/government/publications/the-right-to-choose-government-guidance-on-forced-marriage" TargetMode="External"/><Relationship Id="rId395" Type="http://schemas.openxmlformats.org/officeDocument/2006/relationships/hyperlink" Target="https://www.saferinternet.org.uk/advice-centre/parents-and-carers" TargetMode="External"/><Relationship Id="rId409" Type="http://schemas.openxmlformats.org/officeDocument/2006/relationships/hyperlink" Target="https://swgfl.org.uk/resources/safe-remote-learning/" TargetMode="External"/><Relationship Id="rId560" Type="http://schemas.openxmlformats.org/officeDocument/2006/relationships/hyperlink" Target="http://www.ceopeducation.co.uk/parents" TargetMode="External"/><Relationship Id="rId92"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13" Type="http://schemas.openxmlformats.org/officeDocument/2006/relationships/hyperlink" Target="https://www.educateagainsthate.com/resources/new-teaching-resources-and-guidance-for-further-education-and-training-settings-uploaded-september-2025/" TargetMode="External"/><Relationship Id="rId420" Type="http://schemas.openxmlformats.org/officeDocument/2006/relationships/hyperlink" Target="https://www.gov.uk/government/publications/coronavirus-covid-19-keeping-children-safe-online/coronavirus-covid-19-support-for-parents-and-carers-to-keep-children-safe-online" TargetMode="External"/><Relationship Id="rId255" Type="http://schemas.openxmlformats.org/officeDocument/2006/relationships/hyperlink" Target="https://www.gov.uk/government/uploads/system/uploads/attachment_data/file/496415/6_1639_HO_SP_FGM_mandatory_reporting_Fact_sheet_Web.pdf" TargetMode="External"/><Relationship Id="rId297" Type="http://schemas.openxmlformats.org/officeDocument/2006/relationships/hyperlink" Target="https://www.gov.uk/government/publications/missing-children-and-adults-strategy" TargetMode="External"/><Relationship Id="rId462" Type="http://schemas.openxmlformats.org/officeDocument/2006/relationships/hyperlink" Target="https://www.gov.uk/government/publications/serious-violence-strategy" TargetMode="External"/><Relationship Id="rId518" Type="http://schemas.openxmlformats.org/officeDocument/2006/relationships/hyperlink" Target="http://www.anti-bullyingalliance.org.uk/" TargetMode="External"/><Relationship Id="rId115" Type="http://schemas.openxmlformats.org/officeDocument/2006/relationships/hyperlink" Target="https://www.prisonersfamilies.org/" TargetMode="External"/><Relationship Id="rId157" Type="http://schemas.openxmlformats.org/officeDocument/2006/relationships/hyperlink" Target="https://safelives.org.uk/node/1112" TargetMode="External"/><Relationship Id="rId322" Type="http://schemas.openxmlformats.org/officeDocument/2006/relationships/hyperlink" Target="https://www.childrenssociety.org.uk/what-we-do/our-work/preventing-child-sexual-exploitation" TargetMode="External"/><Relationship Id="rId364" Type="http://schemas.openxmlformats.org/officeDocument/2006/relationships/hyperlink" Target="https://www.nhs.uk/mental-health/conditions/fabricated-or-induced-illness/overview/" TargetMode="External"/><Relationship Id="rId61" Type="http://schemas.openxmlformats.org/officeDocument/2006/relationships/hyperlink" Target="https://www.legislation.gov.uk/ukpga/1989/41/section/17" TargetMode="External"/><Relationship Id="rId199" Type="http://schemas.openxmlformats.org/officeDocument/2006/relationships/hyperlink" Target="https://www.gov.uk/government/publications/the-prevent-duty-safeguarding-learners-vulnerable-to-radicalisation" TargetMode="External"/><Relationship Id="rId571" Type="http://schemas.openxmlformats.org/officeDocument/2006/relationships/hyperlink" Target="http://www.gov.uk/government/publications" TargetMode="External"/><Relationship Id="rId19" Type="http://schemas.openxmlformats.org/officeDocument/2006/relationships/hyperlink" Target="https://www.legislation.gov.uk/ukpga/2003/42/part/1/crossheading/child-sex-offences" TargetMode="External"/><Relationship Id="rId224" Type="http://schemas.openxmlformats.org/officeDocument/2006/relationships/hyperlink" Target="https://assets.publishing.service.gov.uk/government/uploads/system/uploads/attachment_data/file/698009/serious-violence-strategy.pdf" TargetMode="External"/><Relationship Id="rId266"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31" Type="http://schemas.openxmlformats.org/officeDocument/2006/relationships/hyperlink" Target="https://www.stopitnow.org.uk/" TargetMode="External"/><Relationship Id="rId473" Type="http://schemas.openxmlformats.org/officeDocument/2006/relationships/hyperlink" Target="https://www.gov.uk/government/publications/advice-to-schools-and-colleges-on-gangs-and-youth-violence" TargetMode="External"/><Relationship Id="rId529" Type="http://schemas.openxmlformats.org/officeDocument/2006/relationships/hyperlink" Target="https://learning.nspcc.org.uk/research-resources/2019/let-children-know-you-re-listening/" TargetMode="External"/><Relationship Id="rId30" Type="http://schemas.openxmlformats.org/officeDocument/2006/relationships/hyperlink" Target="https://www.gov.uk/government/publications/what-to-do-if-youre-worried-a-child-is-being-abused--2" TargetMode="External"/><Relationship Id="rId126" Type="http://schemas.openxmlformats.org/officeDocument/2006/relationships/hyperlink" Target="https://assets.publishing.service.gov.uk/media/690cd04e276dd02bc451ab66/Operation%2BEncompass%2BStatutory%2BGuidance.pdf" TargetMode="External"/><Relationship Id="rId168" Type="http://schemas.openxmlformats.org/officeDocument/2006/relationships/hyperlink" Target="https://www.gov.uk/government/publications/homelessness-reduction-bill-policy-factsheets" TargetMode="External"/><Relationship Id="rId333" Type="http://schemas.openxmlformats.org/officeDocument/2006/relationships/hyperlink" Target="https://gbr01.safelinks.protection.outlook.com/?url=https%3A%2F%2Fwww.missingpeople.org.uk%2Fget-help%2Fhelp-services%2Fexploitation-and-county-lines&amp;data=05%7C02%7CSamantha.Darby1%40homeoffice.gov.uk%7Cc147a546ba4d436ec2c208de0afde04a%7Cf24d93ecb2914192a08af182245945c2%7C0%7C0%7C638960282679626292%7CUnknown%7CTWFpbGZsb3d8eyJFbXB0eU1hcGkiOnRydWUsIlYiOiIwLjAuMDAwMCIsIlAiOiJXaW4zMiIsIkFOIjoiTWFpbCIsIldUIjoyfQ%3D%3D%7C0%7C%7C%7C&amp;sdata=7SBhRZHu2lyx7CQTD0iSAXo%2FddWJsLFvHYSNgK2F%2FRo%3D&amp;reserved=0" TargetMode="External"/><Relationship Id="rId540" Type="http://schemas.openxmlformats.org/officeDocument/2006/relationships/hyperlink" Target="https://www.contextualsafeguarding.org.uk/toolkits/beyond-referrals/" TargetMode="External"/><Relationship Id="rId72" Type="http://schemas.openxmlformats.org/officeDocument/2006/relationships/hyperlink" Target="https://www.gov.uk/government/publications/working-together-to-safeguard-children--2" TargetMode="External"/><Relationship Id="rId375" Type="http://schemas.openxmlformats.org/officeDocument/2006/relationships/hyperlink" Target="http://www.educateagainsthate.com/" TargetMode="External"/><Relationship Id="rId3" Type="http://schemas.openxmlformats.org/officeDocument/2006/relationships/settings" Target="settings.xml"/><Relationship Id="rId235" Type="http://schemas.openxmlformats.org/officeDocument/2006/relationships/hyperlink" Target="https://youthendowmentfund.org.uk/education-practice-insight-creator/" TargetMode="External"/><Relationship Id="rId277" Type="http://schemas.openxmlformats.org/officeDocument/2006/relationships/hyperlink" Target="https://www.gov.uk/government/publications/what-to-do-if-youre-worried-a-child-is-being-abused--2" TargetMode="External"/><Relationship Id="rId400" Type="http://schemas.openxmlformats.org/officeDocument/2006/relationships/hyperlink" Target="https://www.gov.uk/guidance/get-help-with-remote-education" TargetMode="External"/><Relationship Id="rId442" Type="http://schemas.openxmlformats.org/officeDocument/2006/relationships/hyperlink" Target="https://www.gov.uk/government/publications/uk-cmo-commentary-on-screen-time-and-social-media-map-of-reviews" TargetMode="External"/><Relationship Id="rId484" Type="http://schemas.openxmlformats.org/officeDocument/2006/relationships/hyperlink" Target="https://www.mariecollinsfoundation.org.uk/" TargetMode="External"/><Relationship Id="rId137" Type="http://schemas.openxmlformats.org/officeDocument/2006/relationships/hyperlink" Target="https://www.gov.uk/government/publications/keeping-children-safe-in-education--2" TargetMode="External"/><Relationship Id="rId302"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344" Type="http://schemas.openxmlformats.org/officeDocument/2006/relationships/hyperlink" Target="https://www.pshe-association.org.uk/curriculum-and-resources/resources/drug-and-alcohol-education-%E2%80%94-teacher-guidance" TargetMode="External"/><Relationship Id="rId41" Type="http://schemas.openxmlformats.org/officeDocument/2006/relationships/hyperlink" Target="https://www.gov.uk/government/publications/safeguarding-practitioners-information-sharing-advice" TargetMode="External"/><Relationship Id="rId83" Type="http://schemas.openxmlformats.org/officeDocument/2006/relationships/hyperlink" Target="http://www.actionagainstabduction.org/" TargetMode="External"/><Relationship Id="rId179" Type="http://schemas.openxmlformats.org/officeDocument/2006/relationships/hyperlink" Target="https://www.gov.uk/government/publications/the-prevent-duty-safeguarding-learners-vulnerable-to-radicalisation/managing-risk-of-radicalisation-in-your-education-setting" TargetMode="External"/><Relationship Id="rId386" Type="http://schemas.openxmlformats.org/officeDocument/2006/relationships/hyperlink" Target="https://www.gov.uk/government/publications/ukcis-online-safety-audit-tool" TargetMode="External"/><Relationship Id="rId551" Type="http://schemas.openxmlformats.org/officeDocument/2006/relationships/hyperlink" Target="https://sexting.lgfl.net/" TargetMode="External"/><Relationship Id="rId190" Type="http://schemas.openxmlformats.org/officeDocument/2006/relationships/hyperlink" Target="https://www.support-people-vulnerable-to-radicalisation.service.gov.uk/portal" TargetMode="External"/><Relationship Id="rId204" Type="http://schemas.openxmlformats.org/officeDocument/2006/relationships/hyperlink" Target="https://www.elearning.prevent.homeoffice.gov.uk/channel_awareness/01-welcome.html" TargetMode="External"/><Relationship Id="rId246" Type="http://schemas.openxmlformats.org/officeDocument/2006/relationships/hyperlink" Target="https://www.gov.uk/government/publications/mandatory-reporting-of-female-genital-mutilation-procedural-information" TargetMode="External"/><Relationship Id="rId288" Type="http://schemas.openxmlformats.org/officeDocument/2006/relationships/hyperlink" Target="https://stopabusetogether.campaign.gov.uk/" TargetMode="External"/><Relationship Id="rId411"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453" Type="http://schemas.openxmlformats.org/officeDocument/2006/relationships/hyperlink" Target="http://educateagainsthate.com/" TargetMode="External"/><Relationship Id="rId509" Type="http://schemas.openxmlformats.org/officeDocument/2006/relationships/hyperlink" Target="https://learning.nspcc.org.uk/research-resources/2019/harmful-sexual-behaviour-framework" TargetMode="External"/><Relationship Id="rId106"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313" Type="http://schemas.openxmlformats.org/officeDocument/2006/relationships/hyperlink" Target="https://www.gov.uk/government/publications/safeguarding-children-who-may-have-been-trafficked-practice-guidance" TargetMode="External"/><Relationship Id="rId495" Type="http://schemas.openxmlformats.org/officeDocument/2006/relationships/hyperlink" Target="https://rapecrisis.org.uk/" TargetMode="External"/><Relationship Id="rId10" Type="http://schemas.openxmlformats.org/officeDocument/2006/relationships/footer" Target="footer1.xml"/><Relationship Id="rId52" Type="http://schemas.openxmlformats.org/officeDocument/2006/relationships/hyperlink" Target="https://www.npcc.police.uk/SysSiteAssets/media/downloads/publications/publications-log/2020/when-to-call-the-police--guidance-for-schools-and-colleges.pdf" TargetMode="External"/><Relationship Id="rId94"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48" Type="http://schemas.openxmlformats.org/officeDocument/2006/relationships/hyperlink" Target="https://www.operationencompass.org/" TargetMode="External"/><Relationship Id="rId355" Type="http://schemas.openxmlformats.org/officeDocument/2006/relationships/hyperlink" Target="https://www.gov.uk/government/publications/female-genital-mutilation-resource-pack" TargetMode="External"/><Relationship Id="rId397" Type="http://schemas.openxmlformats.org/officeDocument/2006/relationships/hyperlink" Target="https://www.ceopeducation.co.uk/professionals/guidance/ai-guidance-for-professionals/" TargetMode="External"/><Relationship Id="rId520" Type="http://schemas.openxmlformats.org/officeDocument/2006/relationships/hyperlink" Target="https://rapecrisis.org.uk/" TargetMode="External"/><Relationship Id="rId562" Type="http://schemas.openxmlformats.org/officeDocument/2006/relationships/hyperlink" Target="https://www.ceopeducation.co.uk/parents/ask-the-awkward/" TargetMode="External"/><Relationship Id="rId215" Type="http://schemas.openxmlformats.org/officeDocument/2006/relationships/hyperlink" Target="https://www.educateagainsthate.com/resources/new-teaching-resources-and-guidance-for-further-education-and-training-settings-uploaded-september-2025/" TargetMode="External"/><Relationship Id="rId257" Type="http://schemas.openxmlformats.org/officeDocument/2006/relationships/hyperlink" Target="https://www.gov.uk/government/uploads/system/uploads/attachment_data/file/496415/6_1639_HO_SP_FGM_mandatory_reporting_Fact_sheet_Web.pdf" TargetMode="External"/><Relationship Id="rId422" Type="http://schemas.openxmlformats.org/officeDocument/2006/relationships/hyperlink" Target="https://kidsonlinesafety.campaign.gov.uk/" TargetMode="External"/><Relationship Id="rId464" Type="http://schemas.openxmlformats.org/officeDocument/2006/relationships/hyperlink" Target="https://assets.publishing.service.gov.uk/government/uploads/system/uploads/attachment_data/file/819840/analysis-of-indicators-of-serious-violence-horr110.pdf" TargetMode="External"/><Relationship Id="rId299" Type="http://schemas.openxmlformats.org/officeDocument/2006/relationships/hyperlink" Target="https://www.gov.uk/government/publications/missing-children-and-adults-strategy" TargetMode="External"/><Relationship Id="rId63" Type="http://schemas.openxmlformats.org/officeDocument/2006/relationships/hyperlink" Target="https://www.legislation.gov.uk/ukpga/1989/41/section/17" TargetMode="External"/><Relationship Id="rId159" Type="http://schemas.openxmlformats.org/officeDocument/2006/relationships/hyperlink" Target="https://www.gov.uk/government/publications/domestic-abuse-get-help-for-specific-needs-or-situations/domestic-abuse-specialist-sources-of-support" TargetMode="External"/><Relationship Id="rId366" Type="http://schemas.openxmlformats.org/officeDocument/2006/relationships/hyperlink" Target="https://www.gov.uk/guidance/homelessness-code-of-guidance-for-local-authorities" TargetMode="External"/><Relationship Id="rId573" Type="http://schemas.openxmlformats.org/officeDocument/2006/relationships/hyperlink" Target="http://twitter.com/educationgovuk" TargetMode="External"/><Relationship Id="rId226" Type="http://schemas.openxmlformats.org/officeDocument/2006/relationships/hyperlink" Target="https://www.gov.uk/government/publications/criminal-exploitation-of-children-and-vulnerable-adults-county-lines" TargetMode="External"/><Relationship Id="rId433" Type="http://schemas.openxmlformats.org/officeDocument/2006/relationships/hyperlink" Target="https://www.lucyfaithfull.org.uk/" TargetMode="External"/><Relationship Id="rId74" Type="http://schemas.openxmlformats.org/officeDocument/2006/relationships/hyperlink" Target="https://www.gov.uk/government/publications/working-together-to-safeguard-children--2" TargetMode="External"/><Relationship Id="rId377" Type="http://schemas.openxmlformats.org/officeDocument/2006/relationships/hyperlink" Target="https://digisafe.lgfl.net/" TargetMode="External"/><Relationship Id="rId500" Type="http://schemas.openxmlformats.org/officeDocument/2006/relationships/hyperlink" Target="https://www.nice.org.uk/guidance/ng55" TargetMode="External"/><Relationship Id="rId5" Type="http://schemas.openxmlformats.org/officeDocument/2006/relationships/footnotes" Target="footnotes.xml"/><Relationship Id="rId237" Type="http://schemas.openxmlformats.org/officeDocument/2006/relationships/hyperlink" Target="https://www.gov.uk/government/news/355m-to-support-young-people-at-risk-of-involvement-in-serious-violence" TargetMode="External"/><Relationship Id="rId444" Type="http://schemas.openxmlformats.org/officeDocument/2006/relationships/hyperlink" Target="https://www.gov.uk/government/publications/uk-cmo-commentary-on-screen-time-and-social-media-map-of-reviews" TargetMode="External"/><Relationship Id="rId290" Type="http://schemas.openxmlformats.org/officeDocument/2006/relationships/hyperlink" Target="https://www.gov.uk/government/publications/preventing-and-tackling-bullying" TargetMode="External"/><Relationship Id="rId304"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388" Type="http://schemas.openxmlformats.org/officeDocument/2006/relationships/hyperlink" Target="https://www.gov.uk/government/collections/online-safety-guidance-if-you-own-or-manage-an-online-platform" TargetMode="External"/><Relationship Id="rId511" Type="http://schemas.openxmlformats.org/officeDocument/2006/relationships/hyperlink" Target="https://learning.nspcc.org.uk/research-resources/2019/harmful-sexual-behaviour-framework" TargetMode="External"/><Relationship Id="rId85" Type="http://schemas.openxmlformats.org/officeDocument/2006/relationships/hyperlink" Target="http://www.clevernevergoes.org/" TargetMode="External"/><Relationship Id="rId150" Type="http://schemas.openxmlformats.org/officeDocument/2006/relationships/hyperlink" Target="https://www.operationencompass.org/" TargetMode="External"/><Relationship Id="rId248" Type="http://schemas.openxmlformats.org/officeDocument/2006/relationships/hyperlink" Target="https://www.gov.uk/government/publications/mandatory-reporting-of-female-genital-mutilation-procedural-information" TargetMode="External"/><Relationship Id="rId455" Type="http://schemas.openxmlformats.org/officeDocument/2006/relationships/hyperlink" Target="http://educateagainsthate.com/" TargetMode="External"/><Relationship Id="rId12" Type="http://schemas.openxmlformats.org/officeDocument/2006/relationships/footer" Target="footer3.xml"/><Relationship Id="rId108"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315" Type="http://schemas.openxmlformats.org/officeDocument/2006/relationships/hyperlink" Target="https://www.gov.uk/government/publications/care-of-unaccompanied-and-trafficked-children" TargetMode="External"/><Relationship Id="rId522" Type="http://schemas.openxmlformats.org/officeDocument/2006/relationships/hyperlink" Target="https://www.thesurvivorstrust.org/" TargetMode="External"/><Relationship Id="rId96"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61" Type="http://schemas.openxmlformats.org/officeDocument/2006/relationships/hyperlink" Target="https://www.operationencompass.org/" TargetMode="External"/><Relationship Id="rId399" Type="http://schemas.openxmlformats.org/officeDocument/2006/relationships/hyperlink" Target="https://www.ceopeducation.co.uk/professionals/guidance/fmse-alert/" TargetMode="External"/><Relationship Id="rId259" Type="http://schemas.openxmlformats.org/officeDocument/2006/relationships/hyperlink" Target="https://www.gov.uk/government/publications/multi-agency-statutory-guidance-on-female-genital-mutilation" TargetMode="External"/><Relationship Id="rId466" Type="http://schemas.openxmlformats.org/officeDocument/2006/relationships/hyperlink" Target="https://assets.publishing.service.gov.uk/government/uploads/system/uploads/attachment_data/file/819840/analysis-of-indicators-of-serious-violence-horr110.pdf" TargetMode="External"/><Relationship Id="rId23" Type="http://schemas.openxmlformats.org/officeDocument/2006/relationships/hyperlink" Target="https://youthendowmentfund.org.uk/" TargetMode="External"/><Relationship Id="rId119" Type="http://schemas.openxmlformats.org/officeDocument/2006/relationships/hyperlink" Target="https://www.npcc.police.uk/SysSiteAssets/media/downloads/publications/publications-log/2020/when-to-call-the-police--guidance-for-schools-and-colleges.pdf" TargetMode="External"/><Relationship Id="rId326" Type="http://schemas.openxmlformats.org/officeDocument/2006/relationships/hyperlink" Target="https://tce.researchinpractice.org.uk/" TargetMode="External"/><Relationship Id="rId533" Type="http://schemas.openxmlformats.org/officeDocument/2006/relationships/hyperlink" Target="https://learning.nspcc.org.uk/research-resources/2019/harmful-sexual-behaviour-framework" TargetMode="External"/><Relationship Id="rId172" Type="http://schemas.openxmlformats.org/officeDocument/2006/relationships/hyperlink" Target="https://www.gov.uk/government/publications/modern-slavery-training-resource-page/modern-slavery-training-resource-page" TargetMode="External"/><Relationship Id="rId477" Type="http://schemas.openxmlformats.org/officeDocument/2006/relationships/hyperlink" Target="https://www.gov.uk/government/publications/tackling-violence-against-women-and-girls-strategy" TargetMode="External"/><Relationship Id="rId337" Type="http://schemas.openxmlformats.org/officeDocument/2006/relationships/hyperlink" Target="https://gbr01.safelinks.protection.outlook.com/?url=https%3A%2F%2Fwww.catch-22.org.uk%2Ffind-services%2Fcounty-lines-support-and-rescue%2F&amp;data=05%7C02%7CSamantha.Darby1%40homeoffice.gov.uk%7Cc147a546ba4d436ec2c208de0afde04a%7Cf24d93ecb2914192a08af182245945c2%7C0%7C0%7C638960282679661775%7CUnknown%7CTWFpbGZsb3d8eyJFbXB0eU1hcGkiOnRydWUsIlYiOiIwLjAuMDAwMCIsIlAiOiJXaW4zMiIsIkFOIjoiTWFpbCIsIldUIjoyfQ%3D%3D%7C0%7C%7C%7C&amp;sdata=cUHXsYl6aWWRNOilSnWPLSuYXBF94scs43B3DGIoI5g%3D&amp;reserved=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gov.uk/government/publications/serious-case-reviews-analysis-lessons-and-challenges" TargetMode="External"/><Relationship Id="rId3" Type="http://schemas.openxmlformats.org/officeDocument/2006/relationships/hyperlink" Target="https://www.gov.uk/government/publications/teachers-standards" TargetMode="External"/><Relationship Id="rId21" Type="http://schemas.openxmlformats.org/officeDocument/2006/relationships/hyperlink" Target="https://www.legislation.gov.uk/ukpga/2024/21/contents" TargetMode="External"/><Relationship Id="rId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gov.uk/government/publications/serious-case-reviews-analysis-lessons-and-challenges" TargetMode="External"/><Relationship Id="rId2" Type="http://schemas.openxmlformats.org/officeDocument/2006/relationships/hyperlink" Target="https://www.gov.uk/government/publications/working-together-to-safeguard-children--2" TargetMode="Externa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legislation.gov.uk/ukpga/2024/21/contents" TargetMode="External"/><Relationship Id="rId1" Type="http://schemas.openxmlformats.org/officeDocument/2006/relationships/hyperlink" Target="https://www.gov.uk/government/publications/working-together-to-safeguard-children--2" TargetMode="External"/><Relationship Id="rId6" Type="http://schemas.openxmlformats.org/officeDocument/2006/relationships/hyperlink" Target="https://www.gov.uk/government/publications/behaviour-in-schools--2" TargetMode="External"/><Relationship Id="rId11" Type="http://schemas.openxmlformats.org/officeDocument/2006/relationships/hyperlink" Target="https://www.gov.uk/government/publications/working-together-to-safeguard-children--2" TargetMode="External"/><Relationship Id="rId5" Type="http://schemas.openxmlformats.org/officeDocument/2006/relationships/hyperlink" Target="https://www.gov.uk/government/publications/behaviour-in-schools--2" TargetMode="Externa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legislation.gov.uk/ukpga/2015/6/contents/enacted" TargetMode="External"/><Relationship Id="rId10" Type="http://schemas.openxmlformats.org/officeDocument/2006/relationships/hyperlink" Target="https://assets.publishing.service.gov.uk/media/5acb21d140f0b64fed0afd55/serious-violence-strategy.pdf" TargetMode="External"/><Relationship Id="rId19" Type="http://schemas.openxmlformats.org/officeDocument/2006/relationships/hyperlink" Target="http://www.gov.uk/government/publications/serious-case-reviews-analysis-lessons-and-challenges" TargetMode="External"/><Relationship Id="rId4" Type="http://schemas.openxmlformats.org/officeDocument/2006/relationships/hyperlink" Target="https://www.gov.uk/government/publications/teachers-standards" TargetMode="External"/><Relationship Id="rId9" Type="http://schemas.openxmlformats.org/officeDocument/2006/relationships/hyperlink" Target="https://assets.publishing.service.gov.uk/media/5acb21d140f0b64fed0afd55/serious-violence-strategy.pdf"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legislation.gov.uk/ukpga/2015/6/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26695</Words>
  <Characters>152168</Characters>
  <Application>Microsoft Office Word</Application>
  <DocSecurity>4</DocSecurity>
  <Lines>1268</Lines>
  <Paragraphs>357</Paragraphs>
  <ScaleCrop>false</ScaleCrop>
  <Company/>
  <LinksUpToDate>false</LinksUpToDate>
  <CharactersWithSpaces>178506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Keeping children safe in education: Part one</dc:title>
  <dc:subject/>
  <dc:creator>Department for Education</dc:creator>
  <cp:keywords/>
  <cp:lastModifiedBy>Ellen Lango (TPAT Staff)</cp:lastModifiedBy>
  <cp:revision>2</cp:revision>
  <cp:lastPrinted>2026-09-02T16:29:00Z</cp:lastPrinted>
  <dcterms:created xsi:type="dcterms:W3CDTF">2026-09-02T16:30:00Z</dcterms:created>
  <dcterms:modified xsi:type="dcterms:W3CDTF">2026-09-02T16:30:00Z</dcterms:modified>
</cp:coreProperties>
</file>